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50" w:afterAutospacing="0" w:line="360" w:lineRule="auto"/>
        <w:jc w:val="center"/>
        <w:rPr>
          <w:rStyle w:val="5"/>
          <w:rFonts w:hint="eastAsia" w:ascii="仿宋" w:hAnsi="仿宋" w:eastAsia="仿宋" w:cs="仿宋"/>
          <w:color w:val="000000"/>
          <w:sz w:val="40"/>
          <w:szCs w:val="40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000000"/>
          <w:sz w:val="40"/>
          <w:szCs w:val="40"/>
          <w:shd w:val="clear" w:color="auto" w:fill="FFFFFF"/>
        </w:rPr>
        <w:t>综合评分表</w:t>
      </w:r>
    </w:p>
    <w:p>
      <w:pPr>
        <w:pStyle w:val="2"/>
        <w:widowControl/>
        <w:spacing w:before="0" w:beforeAutospacing="0" w:after="150" w:afterAutospacing="0" w:line="360" w:lineRule="auto"/>
        <w:jc w:val="center"/>
        <w:rPr>
          <w:rStyle w:val="5"/>
          <w:rFonts w:hint="eastAsia" w:ascii="仿宋" w:hAnsi="仿宋" w:eastAsia="仿宋" w:cs="仿宋"/>
          <w:color w:val="000000"/>
          <w:sz w:val="40"/>
          <w:szCs w:val="40"/>
          <w:shd w:val="clear" w:color="auto" w:fill="FFFFFF"/>
        </w:rPr>
      </w:pPr>
    </w:p>
    <w:tbl>
      <w:tblPr>
        <w:tblStyle w:val="3"/>
        <w:tblW w:w="9799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596"/>
        <w:gridCol w:w="709"/>
        <w:gridCol w:w="7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</w:rPr>
              <w:t>名称</w:t>
            </w:r>
          </w:p>
        </w:tc>
        <w:tc>
          <w:tcPr>
            <w:tcW w:w="59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</w:rPr>
              <w:t>评标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</w:rPr>
              <w:t>分值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</w:rPr>
              <w:t>评分标准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6" w:hRule="atLeast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报价 部分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投标报价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30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若有效报价超过五家,在所有有效投标报价中,去掉一个最高价和一个最低价后取算术平均值作为</w:t>
            </w:r>
            <w:r>
              <w:rPr>
                <w:rFonts w:ascii="仿宋" w:hAnsi="仿宋" w:eastAsia="仿宋" w:cs="仿宋"/>
                <w:sz w:val="24"/>
              </w:rPr>
              <w:t>评标基准</w:t>
            </w:r>
            <w:r>
              <w:rPr>
                <w:rFonts w:hint="eastAsia" w:ascii="仿宋" w:hAnsi="仿宋" w:eastAsia="仿宋" w:cs="仿宋"/>
                <w:sz w:val="24"/>
              </w:rPr>
              <w:t>价Q;若有效报价不超过五家（含五家）则直接取算术平均值作为评标基准价。所有有效投标的投标报价算数平均值作为评标基准价Q，评分分数“四舍五入”保留二位小数。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投标报价T低于基准价Q的，每低1%扣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0.3</w:t>
            </w:r>
            <w:r>
              <w:rPr>
                <w:rFonts w:hint="eastAsia" w:ascii="仿宋" w:hAnsi="仿宋" w:eastAsia="仿宋" w:cs="仿宋"/>
                <w:sz w:val="24"/>
              </w:rPr>
              <w:t>分，扣完为止；公式：得分=30-［（Q-T）/Q］×100×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0.3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投标报价T高于标基准价Q的，每高1%扣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</w:rPr>
              <w:t>分，扣完为止；公式：得分=30-［（T-Q）/Q］×100×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0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综合 部分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444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服务承诺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444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pacing w:val="-6"/>
                <w:kern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不转包项目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并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不拖欠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农民工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工资的承诺（包括违反承诺的处罚措施）（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5分）；</w:t>
            </w:r>
          </w:p>
          <w:p>
            <w:pPr>
              <w:jc w:val="left"/>
              <w:rPr>
                <w:rFonts w:ascii="仿宋" w:hAnsi="仿宋" w:eastAsia="仿宋" w:cs="仿宋"/>
                <w:spacing w:val="-6"/>
                <w:kern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2.对工期、安全、质量等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的承诺（包括违反承诺的处罚措施）（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5分）；</w:t>
            </w:r>
          </w:p>
          <w:p>
            <w:pPr>
              <w:jc w:val="left"/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.有无条件响应招标人其他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合法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要求的承诺（包括违反承诺的处罚措施）</w:t>
            </w:r>
          </w:p>
          <w:p>
            <w:pPr>
              <w:jc w:val="left"/>
              <w:rPr>
                <w:rFonts w:ascii="仿宋" w:hAnsi="仿宋" w:eastAsia="仿宋" w:cs="仿宋"/>
                <w:spacing w:val="-6"/>
                <w:kern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5分）。</w:t>
            </w:r>
          </w:p>
          <w:p>
            <w:pPr>
              <w:jc w:val="left"/>
              <w:rPr>
                <w:rFonts w:ascii="仿宋" w:hAnsi="仿宋" w:eastAsia="仿宋" w:cs="仿宋"/>
                <w:spacing w:val="-6"/>
                <w:kern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zh-CN"/>
              </w:rPr>
              <w:t>4、对独立协调解决建设过程发生的矛盾纠纷问题承诺。（10分）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</w:trPr>
        <w:tc>
          <w:tcPr>
            <w:tcW w:w="84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color w:val="44444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业绩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hint="eastAsia" w:ascii="仿宋" w:hAnsi="仿宋" w:eastAsia="仿宋" w:cs="仿宋"/>
                <w:spacing w:val="-6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444444"/>
                <w:lang w:val="en-US" w:eastAsia="zh-CN"/>
              </w:rPr>
              <w:t>15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pacing w:after="15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近三年（201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</w:rPr>
              <w:t>月至今）承担单项合同金额在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0万元及以上工程建设项目，有一项得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分，最高</w:t>
            </w:r>
            <w:r>
              <w:rPr>
                <w:rFonts w:hint="eastAsia" w:ascii="仿宋" w:hAnsi="仿宋" w:eastAsia="仿宋" w:cs="仿宋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分。（</w:t>
            </w:r>
            <w:r>
              <w:rPr>
                <w:rFonts w:hint="eastAsia" w:ascii="仿宋" w:hAnsi="仿宋" w:eastAsia="仿宋" w:cs="仿宋"/>
                <w:spacing w:val="-6"/>
                <w:lang w:bidi="zh-CN"/>
              </w:rPr>
              <w:t>须提供项目中标</w:t>
            </w:r>
            <w:r>
              <w:rPr>
                <w:rFonts w:ascii="仿宋" w:hAnsi="仿宋" w:eastAsia="仿宋" w:cs="仿宋"/>
                <w:spacing w:val="-6"/>
                <w:lang w:bidi="zh-CN"/>
              </w:rPr>
              <w:t>通知书或合同复印件</w:t>
            </w:r>
            <w:r>
              <w:rPr>
                <w:rFonts w:hint="eastAsia" w:ascii="仿宋" w:hAnsi="仿宋" w:eastAsia="仿宋" w:cs="仿宋"/>
                <w:spacing w:val="-6"/>
                <w:lang w:val="en-US" w:bidi="zh-CN"/>
              </w:rPr>
              <w:t>并加盖公章</w:t>
            </w:r>
            <w:r>
              <w:rPr>
                <w:rFonts w:hint="eastAsia" w:ascii="仿宋" w:hAnsi="仿宋" w:eastAsia="仿宋" w:cs="仿宋"/>
                <w:spacing w:val="-6"/>
                <w:lang w:bidi="zh-CN"/>
              </w:rPr>
              <w:t>，未提供或不符合要求不得分</w:t>
            </w:r>
            <w:r>
              <w:rPr>
                <w:rFonts w:hint="eastAsia" w:ascii="仿宋" w:hAnsi="仿宋" w:eastAsia="仿宋" w:cs="仿宋"/>
              </w:rPr>
              <w:t>）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after="150" w:afterAutospacing="0"/>
              <w:ind w:left="0" w:leftChars="0" w:firstLine="0" w:firstLineChars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项目经理业绩：近三年内（201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月-至今）</w:t>
            </w:r>
            <w:r>
              <w:rPr>
                <w:rFonts w:hint="eastAsia" w:ascii="仿宋" w:hAnsi="仿宋" w:eastAsia="仿宋" w:cs="仿宋"/>
              </w:rPr>
              <w:t>承担单项合同金额在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0万元及以上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市政工程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，有一项得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分，最多得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。（</w:t>
            </w:r>
            <w:r>
              <w:rPr>
                <w:rFonts w:hint="eastAsia" w:ascii="仿宋" w:hAnsi="仿宋" w:eastAsia="仿宋" w:cs="仿宋"/>
                <w:spacing w:val="-6"/>
                <w:lang w:bidi="zh-CN"/>
              </w:rPr>
              <w:t>须提供项目</w:t>
            </w:r>
            <w:r>
              <w:rPr>
                <w:rFonts w:ascii="仿宋" w:hAnsi="仿宋" w:eastAsia="仿宋" w:cs="仿宋"/>
                <w:spacing w:val="-6"/>
                <w:lang w:bidi="zh-CN"/>
              </w:rPr>
              <w:t>合同复印件</w:t>
            </w:r>
            <w:r>
              <w:rPr>
                <w:rFonts w:hint="eastAsia" w:ascii="仿宋" w:hAnsi="仿宋" w:eastAsia="仿宋" w:cs="仿宋"/>
                <w:spacing w:val="-6"/>
                <w:lang w:val="en-US" w:bidi="zh-CN"/>
              </w:rPr>
              <w:t>并加盖公章</w:t>
            </w:r>
            <w:r>
              <w:rPr>
                <w:rFonts w:hint="eastAsia" w:ascii="仿宋" w:hAnsi="仿宋" w:eastAsia="仿宋" w:cs="仿宋"/>
                <w:spacing w:val="-6"/>
                <w:lang w:bidi="zh-CN"/>
              </w:rPr>
              <w:t>，未提供或不符合要求不得分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）</w:t>
            </w:r>
          </w:p>
          <w:p>
            <w:pPr>
              <w:pStyle w:val="2"/>
              <w:widowControl/>
              <w:spacing w:after="150" w:afterAutospacing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 xml:space="preserve">技术 </w:t>
            </w:r>
            <w:r>
              <w:rPr>
                <w:rFonts w:ascii="仿宋" w:hAnsi="仿宋" w:eastAsia="仿宋" w:cs="仿宋"/>
                <w:color w:val="444444"/>
              </w:rPr>
              <w:t>部分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施工方案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3</w:t>
            </w:r>
            <w:r>
              <w:rPr>
                <w:rFonts w:ascii="仿宋" w:hAnsi="仿宋" w:eastAsia="仿宋" w:cs="仿宋"/>
                <w:color w:val="444444"/>
              </w:rPr>
              <w:t>0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投标人根据对本项目的理解，提供合理、先进的实施方案，施工设备及人员配合齐全，施工质量、安全施工、文明施工保证体系完整，优3</w:t>
            </w:r>
            <w:r>
              <w:rPr>
                <w:rFonts w:ascii="仿宋" w:hAnsi="仿宋" w:eastAsia="仿宋" w:cs="仿宋"/>
                <w:color w:val="444444"/>
              </w:rPr>
              <w:t>0</w:t>
            </w:r>
            <w:r>
              <w:rPr>
                <w:rFonts w:hint="eastAsia" w:ascii="仿宋" w:hAnsi="仿宋" w:eastAsia="仿宋" w:cs="仿宋"/>
                <w:color w:val="444444"/>
              </w:rPr>
              <w:t>-2</w:t>
            </w:r>
            <w:r>
              <w:rPr>
                <w:rFonts w:ascii="仿宋" w:hAnsi="仿宋" w:eastAsia="仿宋" w:cs="仿宋"/>
                <w:color w:val="444444"/>
              </w:rPr>
              <w:t>1</w:t>
            </w:r>
            <w:r>
              <w:rPr>
                <w:rFonts w:hint="eastAsia" w:ascii="仿宋" w:hAnsi="仿宋" w:eastAsia="仿宋" w:cs="仿宋"/>
                <w:color w:val="444444"/>
              </w:rPr>
              <w:t>分，良2</w:t>
            </w:r>
            <w:r>
              <w:rPr>
                <w:rFonts w:ascii="仿宋" w:hAnsi="仿宋" w:eastAsia="仿宋" w:cs="仿宋"/>
                <w:color w:val="444444"/>
              </w:rPr>
              <w:t>0</w:t>
            </w:r>
            <w:r>
              <w:rPr>
                <w:rFonts w:hint="eastAsia" w:ascii="仿宋" w:hAnsi="仿宋" w:eastAsia="仿宋" w:cs="仿宋"/>
                <w:color w:val="444444"/>
              </w:rPr>
              <w:t>-1</w:t>
            </w:r>
            <w:r>
              <w:rPr>
                <w:rFonts w:ascii="仿宋" w:hAnsi="仿宋" w:eastAsia="仿宋" w:cs="仿宋"/>
                <w:color w:val="444444"/>
              </w:rPr>
              <w:t>1</w:t>
            </w:r>
            <w:r>
              <w:rPr>
                <w:rFonts w:hint="eastAsia" w:ascii="仿宋" w:hAnsi="仿宋" w:eastAsia="仿宋" w:cs="仿宋"/>
                <w:color w:val="444444"/>
              </w:rPr>
              <w:t>分，差1</w:t>
            </w:r>
            <w:r>
              <w:rPr>
                <w:rFonts w:ascii="仿宋" w:hAnsi="仿宋" w:eastAsia="仿宋" w:cs="仿宋"/>
                <w:color w:val="444444"/>
              </w:rPr>
              <w:t>0</w:t>
            </w:r>
            <w:r>
              <w:rPr>
                <w:rFonts w:hint="eastAsia" w:ascii="仿宋" w:hAnsi="仿宋" w:eastAsia="仿宋" w:cs="仿宋"/>
                <w:color w:val="444444"/>
              </w:rPr>
              <w:t>-0分。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总分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jc w:val="center"/>
              <w:rPr>
                <w:rFonts w:ascii="仿宋" w:hAnsi="仿宋" w:eastAsia="仿宋" w:cs="仿宋"/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</w:rPr>
              <w:t>100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after="150" w:afterAutospacing="0" w:line="405" w:lineRule="atLeast"/>
              <w:ind w:firstLine="480" w:firstLineChars="200"/>
              <w:rPr>
                <w:rFonts w:ascii="仿宋" w:hAnsi="仿宋" w:eastAsia="仿宋" w:cs="仿宋"/>
                <w:color w:val="4444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43658"/>
    <w:multiLevelType w:val="singleLevel"/>
    <w:tmpl w:val="4964365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525DD"/>
    <w:rsid w:val="0B6C6A9D"/>
    <w:rsid w:val="4D225998"/>
    <w:rsid w:val="4DE71558"/>
    <w:rsid w:val="6F8525DD"/>
    <w:rsid w:val="705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2020-09-07T09:35:00Z</dcterms:created>
  <dc:creator>市城发集团</dc:creator>
  <cp:lastModifiedBy>Administrator</cp:lastModifiedBy>
  <cp:lastPrinted>2020-12-09T08:12:00Z</cp:lastPrinted>
  <dcterms:modified xsi:type="dcterms:W3CDTF">2021-12-08T00:43:14Z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3BAEA9BF019348F196FC224EA58C5EC9</vt:lpwstr>
  </property>
</Properties>
</file>