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647" w:rsidRPr="00416647" w:rsidRDefault="00416647" w:rsidP="00416647">
      <w:pPr>
        <w:widowControl/>
        <w:shd w:val="clear" w:color="auto" w:fill="FFFFFF"/>
        <w:spacing w:line="560" w:lineRule="exact"/>
        <w:jc w:val="left"/>
        <w:rPr>
          <w:rFonts w:ascii="仿宋_GB2312" w:eastAsia="仿宋_GB2312" w:hAnsi="宋体" w:cs="仿宋_GB2312" w:hint="eastAsia"/>
          <w:b/>
          <w:kern w:val="0"/>
          <w:sz w:val="28"/>
          <w:szCs w:val="28"/>
          <w:shd w:val="clear" w:color="auto" w:fill="FFFFFF"/>
          <w:lang/>
        </w:rPr>
      </w:pPr>
      <w:r w:rsidRPr="00416647">
        <w:rPr>
          <w:rFonts w:ascii="仿宋_GB2312" w:eastAsia="仿宋_GB2312" w:hAnsi="宋体" w:cs="仿宋_GB2312" w:hint="eastAsia"/>
          <w:b/>
          <w:kern w:val="0"/>
          <w:sz w:val="28"/>
          <w:szCs w:val="28"/>
          <w:shd w:val="clear" w:color="auto" w:fill="FFFFFF"/>
          <w:lang/>
        </w:rPr>
        <w:t>附件2</w:t>
      </w:r>
    </w:p>
    <w:p w:rsidR="00416647" w:rsidRDefault="00416647" w:rsidP="00416647">
      <w:pPr>
        <w:widowControl/>
        <w:shd w:val="clear" w:color="auto" w:fill="FFFFFF"/>
        <w:spacing w:line="560" w:lineRule="exact"/>
        <w:jc w:val="center"/>
        <w:rPr>
          <w:rFonts w:ascii="仿宋_GB2312" w:eastAsia="仿宋_GB2312" w:hAnsi="宋体" w:cs="宋体"/>
          <w:b/>
          <w:sz w:val="30"/>
          <w:szCs w:val="30"/>
          <w:shd w:val="clear" w:color="auto" w:fill="FFFFFF"/>
        </w:rPr>
      </w:pPr>
      <w:r>
        <w:rPr>
          <w:rFonts w:ascii="仿宋_GB2312" w:eastAsia="仿宋_GB2312" w:hAnsi="宋体" w:cs="仿宋_GB2312"/>
          <w:b/>
          <w:kern w:val="0"/>
          <w:sz w:val="30"/>
          <w:szCs w:val="30"/>
          <w:shd w:val="clear" w:color="auto" w:fill="FFFFFF"/>
          <w:lang/>
        </w:rPr>
        <w:t>工程造价咨询机构入围评分办法</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1088"/>
        <w:gridCol w:w="6868"/>
        <w:gridCol w:w="992"/>
      </w:tblGrid>
      <w:tr w:rsidR="00416647" w:rsidRPr="00730061" w:rsidTr="00416647">
        <w:trPr>
          <w:trHeight w:val="719"/>
        </w:trPr>
        <w:tc>
          <w:tcPr>
            <w:tcW w:w="2171" w:type="dxa"/>
            <w:gridSpan w:val="2"/>
            <w:tcBorders>
              <w:top w:val="single" w:sz="4" w:space="0" w:color="auto"/>
              <w:left w:val="single" w:sz="4" w:space="0" w:color="auto"/>
              <w:bottom w:val="single" w:sz="4" w:space="0" w:color="auto"/>
              <w:right w:val="single" w:sz="4" w:space="0" w:color="auto"/>
            </w:tcBorders>
            <w:noWrap/>
            <w:vAlign w:val="center"/>
          </w:tcPr>
          <w:p w:rsidR="00416647" w:rsidRPr="00730061" w:rsidRDefault="00416647" w:rsidP="00267CF3">
            <w:pPr>
              <w:widowControl/>
              <w:spacing w:line="540" w:lineRule="exact"/>
              <w:jc w:val="center"/>
              <w:rPr>
                <w:rFonts w:ascii="宋体" w:hAnsi="宋体" w:hint="eastAsia"/>
                <w:b/>
                <w:color w:val="000000"/>
                <w:sz w:val="24"/>
              </w:rPr>
            </w:pPr>
            <w:r w:rsidRPr="00730061">
              <w:rPr>
                <w:rFonts w:ascii="宋体" w:hAnsi="宋体" w:hint="eastAsia"/>
                <w:b/>
                <w:color w:val="000000"/>
                <w:kern w:val="0"/>
                <w:sz w:val="24"/>
                <w:lang/>
              </w:rPr>
              <w:t>分项内容</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540" w:lineRule="exact"/>
              <w:jc w:val="center"/>
              <w:rPr>
                <w:rFonts w:ascii="宋体" w:hAnsi="宋体" w:hint="eastAsia"/>
                <w:b/>
                <w:color w:val="000000"/>
                <w:sz w:val="24"/>
              </w:rPr>
            </w:pPr>
            <w:r w:rsidRPr="00730061">
              <w:rPr>
                <w:rFonts w:ascii="宋体" w:hAnsi="宋体" w:hint="eastAsia"/>
                <w:b/>
                <w:color w:val="000000"/>
                <w:kern w:val="0"/>
                <w:sz w:val="24"/>
                <w:lang/>
              </w:rPr>
              <w:t>要求</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540" w:lineRule="exact"/>
              <w:jc w:val="center"/>
              <w:rPr>
                <w:rFonts w:ascii="宋体" w:hAnsi="宋体" w:hint="eastAsia"/>
                <w:b/>
                <w:color w:val="000000"/>
                <w:sz w:val="24"/>
              </w:rPr>
            </w:pPr>
            <w:r w:rsidRPr="00730061">
              <w:rPr>
                <w:rFonts w:ascii="宋体" w:hAnsi="宋体" w:hint="eastAsia"/>
                <w:b/>
                <w:color w:val="000000"/>
                <w:kern w:val="0"/>
                <w:sz w:val="24"/>
                <w:lang/>
              </w:rPr>
              <w:t>分值</w:t>
            </w:r>
          </w:p>
        </w:tc>
      </w:tr>
      <w:tr w:rsidR="00416647" w:rsidRPr="00730061" w:rsidTr="00416647">
        <w:trPr>
          <w:trHeight w:val="1169"/>
        </w:trPr>
        <w:tc>
          <w:tcPr>
            <w:tcW w:w="1083" w:type="dxa"/>
            <w:vMerge w:val="restart"/>
            <w:tcBorders>
              <w:top w:val="nil"/>
              <w:left w:val="single" w:sz="4" w:space="0" w:color="auto"/>
              <w:bottom w:val="single" w:sz="4" w:space="0" w:color="auto"/>
              <w:right w:val="single" w:sz="4" w:space="0" w:color="auto"/>
            </w:tcBorders>
            <w:noWrap/>
            <w:vAlign w:val="center"/>
          </w:tcPr>
          <w:p w:rsidR="00416647" w:rsidRPr="00730061" w:rsidRDefault="00416647" w:rsidP="00267CF3">
            <w:pPr>
              <w:widowControl/>
              <w:jc w:val="center"/>
              <w:rPr>
                <w:rFonts w:ascii="宋体" w:hAnsi="宋体" w:hint="eastAsia"/>
                <w:color w:val="000000"/>
                <w:szCs w:val="21"/>
              </w:rPr>
            </w:pPr>
            <w:r w:rsidRPr="00730061">
              <w:rPr>
                <w:rFonts w:ascii="宋体" w:hAnsi="宋体" w:hint="eastAsia"/>
                <w:color w:val="000000"/>
                <w:kern w:val="0"/>
                <w:szCs w:val="21"/>
                <w:lang/>
              </w:rPr>
              <w:t>综合实力</w:t>
            </w:r>
          </w:p>
          <w:p w:rsidR="00416647" w:rsidRPr="00730061" w:rsidRDefault="00416647" w:rsidP="00267CF3">
            <w:pPr>
              <w:widowControl/>
              <w:jc w:val="center"/>
              <w:rPr>
                <w:rFonts w:ascii="宋体" w:hAnsi="宋体" w:hint="eastAsia"/>
                <w:color w:val="000000"/>
                <w:szCs w:val="21"/>
              </w:rPr>
            </w:pPr>
            <w:r w:rsidRPr="00730061">
              <w:rPr>
                <w:rFonts w:ascii="宋体" w:hAnsi="宋体" w:hint="eastAsia"/>
                <w:color w:val="000000"/>
                <w:kern w:val="0"/>
                <w:szCs w:val="21"/>
                <w:lang/>
              </w:rPr>
              <w:t>（70分）</w:t>
            </w:r>
          </w:p>
          <w:p w:rsidR="00416647" w:rsidRPr="00730061" w:rsidRDefault="00416647" w:rsidP="00267CF3">
            <w:pPr>
              <w:widowControl/>
              <w:spacing w:line="380" w:lineRule="exact"/>
              <w:jc w:val="center"/>
              <w:rPr>
                <w:rFonts w:ascii="宋体" w:hAnsi="宋体" w:hint="eastAsia"/>
                <w:color w:val="000000"/>
                <w:sz w:val="30"/>
                <w:szCs w:val="30"/>
              </w:rPr>
            </w:pPr>
          </w:p>
          <w:p w:rsidR="00416647" w:rsidRPr="00730061" w:rsidRDefault="00416647" w:rsidP="00267CF3">
            <w:pPr>
              <w:widowControl/>
              <w:spacing w:line="380" w:lineRule="exact"/>
              <w:jc w:val="left"/>
              <w:rPr>
                <w:rFonts w:ascii="宋体" w:eastAsia="Arial Unicode MS" w:hAnsi="宋体" w:hint="eastAsia"/>
                <w:color w:val="000000"/>
                <w:szCs w:val="21"/>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宋体" w:hAnsi="宋体" w:hint="eastAsia"/>
                <w:color w:val="000000"/>
                <w:kern w:val="0"/>
                <w:szCs w:val="21"/>
                <w:lang/>
              </w:rPr>
              <w:t>财务状况</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两年经审计的财务报表均有提供，盈利状况良好，得3分；</w:t>
            </w:r>
          </w:p>
          <w:p w:rsidR="00416647" w:rsidRPr="00730061" w:rsidRDefault="00416647" w:rsidP="00267CF3">
            <w:pPr>
              <w:widowControl/>
              <w:rPr>
                <w:rFonts w:ascii="宋体" w:hAnsi="宋体" w:hint="eastAsia"/>
                <w:color w:val="000000"/>
                <w:kern w:val="0"/>
                <w:szCs w:val="21"/>
                <w:lang/>
              </w:rPr>
            </w:pPr>
            <w:r w:rsidRPr="00730061">
              <w:rPr>
                <w:rFonts w:ascii="宋体" w:hAnsi="宋体" w:hint="eastAsia"/>
                <w:color w:val="000000"/>
                <w:kern w:val="0"/>
                <w:szCs w:val="21"/>
                <w:lang/>
              </w:rPr>
              <w:t>盈利状况一般，得1分；</w:t>
            </w:r>
          </w:p>
          <w:p w:rsidR="00416647" w:rsidRPr="00730061" w:rsidRDefault="00416647" w:rsidP="00267CF3">
            <w:pPr>
              <w:widowControl/>
              <w:rPr>
                <w:rFonts w:ascii="宋体" w:hAnsi="宋体" w:hint="eastAsia"/>
                <w:color w:val="000000"/>
                <w:kern w:val="0"/>
                <w:szCs w:val="21"/>
                <w:lang/>
              </w:rPr>
            </w:pPr>
            <w:r w:rsidRPr="00730061">
              <w:rPr>
                <w:rFonts w:ascii="宋体" w:hAnsi="宋体" w:hint="eastAsia"/>
                <w:color w:val="000000"/>
                <w:kern w:val="0"/>
                <w:szCs w:val="21"/>
                <w:lang/>
              </w:rPr>
              <w:t>无盈利、亏损，或其它情况者，得0分。</w:t>
            </w:r>
          </w:p>
          <w:p w:rsidR="00416647" w:rsidRPr="00730061" w:rsidRDefault="00416647" w:rsidP="00267CF3">
            <w:pPr>
              <w:widowControl/>
              <w:rPr>
                <w:rFonts w:ascii="宋体" w:hAnsi="宋体" w:hint="eastAsia"/>
                <w:color w:val="000000"/>
                <w:szCs w:val="21"/>
              </w:rPr>
            </w:pPr>
            <w:r w:rsidRPr="00730061">
              <w:rPr>
                <w:rFonts w:ascii="宋体" w:hAnsi="宋体" w:hint="eastAsia"/>
                <w:b/>
                <w:color w:val="000000"/>
                <w:kern w:val="0"/>
                <w:szCs w:val="21"/>
                <w:lang/>
              </w:rPr>
              <w:t>提供申请人</w:t>
            </w:r>
            <w:r w:rsidRPr="00730061">
              <w:rPr>
                <w:rFonts w:ascii="宋体" w:hAnsi="宋体" w:hint="eastAsia"/>
                <w:color w:val="000000"/>
                <w:kern w:val="0"/>
                <w:szCs w:val="21"/>
                <w:lang/>
              </w:rPr>
              <w:t>2017</w:t>
            </w:r>
            <w:r w:rsidRPr="00730061">
              <w:rPr>
                <w:rFonts w:ascii="宋体" w:hAnsi="宋体" w:hint="eastAsia"/>
                <w:b/>
                <w:color w:val="000000"/>
                <w:kern w:val="0"/>
                <w:szCs w:val="21"/>
                <w:lang/>
              </w:rPr>
              <w:t>、</w:t>
            </w:r>
            <w:r w:rsidRPr="00730061">
              <w:rPr>
                <w:rFonts w:ascii="宋体" w:hAnsi="宋体" w:hint="eastAsia"/>
                <w:color w:val="000000"/>
                <w:kern w:val="0"/>
                <w:szCs w:val="21"/>
                <w:lang/>
              </w:rPr>
              <w:t>2018</w:t>
            </w:r>
            <w:r w:rsidRPr="00730061">
              <w:rPr>
                <w:rFonts w:ascii="宋体" w:hAnsi="宋体" w:hint="eastAsia"/>
                <w:b/>
                <w:color w:val="000000"/>
                <w:kern w:val="0"/>
                <w:szCs w:val="21"/>
                <w:lang/>
              </w:rPr>
              <w:t>年</w:t>
            </w:r>
            <w:r w:rsidRPr="00730061">
              <w:rPr>
                <w:rFonts w:ascii="宋体" w:hAnsi="宋体" w:cs="宋体" w:hint="eastAsia"/>
                <w:color w:val="000000"/>
                <w:sz w:val="24"/>
              </w:rPr>
              <w:t>财务审计报告</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宋体" w:hAnsi="宋体" w:hint="eastAsia"/>
                <w:color w:val="000000"/>
                <w:kern w:val="0"/>
                <w:szCs w:val="21"/>
                <w:lang/>
              </w:rPr>
              <w:t>3分</w:t>
            </w:r>
          </w:p>
        </w:tc>
      </w:tr>
      <w:tr w:rsidR="00416647" w:rsidRPr="00730061" w:rsidTr="00416647">
        <w:trPr>
          <w:trHeight w:val="1448"/>
        </w:trPr>
        <w:tc>
          <w:tcPr>
            <w:tcW w:w="1083" w:type="dxa"/>
            <w:vMerge/>
            <w:tcBorders>
              <w:top w:val="nil"/>
              <w:left w:val="single" w:sz="4" w:space="0" w:color="auto"/>
              <w:bottom w:val="single" w:sz="4" w:space="0" w:color="auto"/>
              <w:right w:val="single" w:sz="4" w:space="0" w:color="auto"/>
            </w:tcBorders>
            <w:noWrap/>
            <w:vAlign w:val="center"/>
          </w:tcPr>
          <w:p w:rsidR="00416647" w:rsidRPr="00730061" w:rsidRDefault="00416647" w:rsidP="00267CF3">
            <w:pPr>
              <w:rPr>
                <w:rFonts w:ascii="Times New Roman" w:hAnsi="Times New Roman"/>
                <w:sz w:val="20"/>
                <w:szCs w:val="20"/>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jc w:val="center"/>
              <w:rPr>
                <w:rFonts w:ascii="宋体" w:hAnsi="宋体" w:hint="eastAsia"/>
                <w:color w:val="000000"/>
                <w:szCs w:val="21"/>
              </w:rPr>
            </w:pPr>
            <w:r w:rsidRPr="00730061">
              <w:rPr>
                <w:rFonts w:ascii="宋体" w:hAnsi="宋体" w:hint="eastAsia"/>
                <w:color w:val="000000"/>
                <w:kern w:val="0"/>
                <w:szCs w:val="21"/>
                <w:lang/>
              </w:rPr>
              <w:t>管理体</w:t>
            </w:r>
          </w:p>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宋体" w:hAnsi="宋体" w:hint="eastAsia"/>
                <w:color w:val="000000"/>
                <w:kern w:val="0"/>
                <w:szCs w:val="21"/>
                <w:lang/>
              </w:rPr>
              <w:t>系认证</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质量管理体系认证证书，环境管理体系认证证书，职业健康安全管理体系认证证书；具有提供上述证书复印件，每个得1 分，满分3 分，无得0分。</w:t>
            </w:r>
          </w:p>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（提供相关认证证书复印件加盖单位公章）</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宋体" w:hAnsi="宋体" w:hint="eastAsia"/>
                <w:color w:val="000000"/>
                <w:kern w:val="0"/>
                <w:szCs w:val="21"/>
                <w:lang/>
              </w:rPr>
              <w:t>3 分</w:t>
            </w:r>
          </w:p>
        </w:tc>
      </w:tr>
      <w:tr w:rsidR="00416647" w:rsidRPr="00730061" w:rsidTr="00416647">
        <w:trPr>
          <w:trHeight w:val="3202"/>
        </w:trPr>
        <w:tc>
          <w:tcPr>
            <w:tcW w:w="1083" w:type="dxa"/>
            <w:vMerge/>
            <w:tcBorders>
              <w:top w:val="nil"/>
              <w:left w:val="single" w:sz="4" w:space="0" w:color="auto"/>
              <w:bottom w:val="single" w:sz="4" w:space="0" w:color="auto"/>
              <w:right w:val="single" w:sz="4" w:space="0" w:color="auto"/>
            </w:tcBorders>
            <w:noWrap/>
            <w:vAlign w:val="center"/>
          </w:tcPr>
          <w:p w:rsidR="00416647" w:rsidRPr="00730061" w:rsidRDefault="00416647" w:rsidP="00267CF3">
            <w:pPr>
              <w:rPr>
                <w:rFonts w:ascii="Times New Roman" w:hAnsi="Times New Roman"/>
                <w:sz w:val="20"/>
                <w:szCs w:val="20"/>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jc w:val="center"/>
              <w:rPr>
                <w:rFonts w:ascii="宋体" w:hAnsi="宋体" w:hint="eastAsia"/>
                <w:color w:val="000000"/>
                <w:szCs w:val="21"/>
              </w:rPr>
            </w:pPr>
            <w:r w:rsidRPr="00730061">
              <w:rPr>
                <w:rFonts w:ascii="宋体" w:hAnsi="宋体" w:hint="eastAsia"/>
                <w:color w:val="000000"/>
                <w:kern w:val="0"/>
                <w:szCs w:val="21"/>
                <w:lang/>
              </w:rPr>
              <w:t>企业业绩</w:t>
            </w:r>
          </w:p>
          <w:p w:rsidR="00416647" w:rsidRPr="00730061" w:rsidRDefault="00416647" w:rsidP="00267CF3">
            <w:pPr>
              <w:widowControl/>
              <w:spacing w:line="380" w:lineRule="exact"/>
              <w:jc w:val="center"/>
              <w:rPr>
                <w:rFonts w:ascii="宋体" w:hAnsi="宋体" w:hint="eastAsia"/>
                <w:color w:val="000000"/>
                <w:szCs w:val="21"/>
              </w:rPr>
            </w:pP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1.2017年1月1日起至今承担过单项造价金额1000万元或以上的建设工程项目造价咨询服务业绩的，每个得1分，最高得6分。</w:t>
            </w:r>
          </w:p>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2.2017年1月1日起至今承担过单项造价3000万元</w:t>
            </w:r>
            <w:proofErr w:type="gramStart"/>
            <w:r w:rsidRPr="00730061">
              <w:rPr>
                <w:rFonts w:ascii="宋体" w:hAnsi="宋体" w:hint="eastAsia"/>
                <w:color w:val="000000"/>
                <w:kern w:val="0"/>
                <w:szCs w:val="21"/>
                <w:lang/>
              </w:rPr>
              <w:t>元</w:t>
            </w:r>
            <w:proofErr w:type="gramEnd"/>
            <w:r w:rsidRPr="00730061">
              <w:rPr>
                <w:rFonts w:ascii="宋体" w:hAnsi="宋体" w:hint="eastAsia"/>
                <w:color w:val="000000"/>
                <w:kern w:val="0"/>
                <w:szCs w:val="21"/>
                <w:lang/>
              </w:rPr>
              <w:t>或以上的建设工程项目造价咨询服务业绩的，每个得2分，最高得14分。</w:t>
            </w:r>
          </w:p>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本项满分20分。</w:t>
            </w:r>
          </w:p>
          <w:p w:rsidR="00416647" w:rsidRPr="00730061" w:rsidRDefault="00416647" w:rsidP="00267CF3">
            <w:pPr>
              <w:widowControl/>
              <w:rPr>
                <w:rFonts w:ascii="宋体" w:hAnsi="宋体" w:hint="eastAsia"/>
                <w:color w:val="000000"/>
                <w:szCs w:val="21"/>
              </w:rPr>
            </w:pPr>
          </w:p>
          <w:p w:rsidR="00416647" w:rsidRPr="00FC3740" w:rsidRDefault="00416647" w:rsidP="00267CF3">
            <w:pPr>
              <w:widowControl/>
              <w:rPr>
                <w:rFonts w:ascii="宋体" w:hAnsi="宋体" w:hint="eastAsia"/>
                <w:b/>
                <w:color w:val="000000"/>
                <w:szCs w:val="21"/>
              </w:rPr>
            </w:pPr>
            <w:r w:rsidRPr="00FC3740">
              <w:rPr>
                <w:rFonts w:ascii="宋体" w:hAnsi="宋体" w:hint="eastAsia"/>
                <w:b/>
                <w:color w:val="000000"/>
                <w:kern w:val="0"/>
                <w:szCs w:val="21"/>
                <w:lang/>
              </w:rPr>
              <w:t>须提供完整的项目委托造价协议复印件加盖单位公章，时间以签订委托协议的时间或公告网页</w:t>
            </w:r>
            <w:proofErr w:type="gramStart"/>
            <w:r w:rsidRPr="00FC3740">
              <w:rPr>
                <w:rFonts w:ascii="宋体" w:hAnsi="宋体" w:hint="eastAsia"/>
                <w:b/>
                <w:color w:val="000000"/>
                <w:kern w:val="0"/>
                <w:szCs w:val="21"/>
                <w:lang/>
              </w:rPr>
              <w:t>截</w:t>
            </w:r>
            <w:proofErr w:type="gramEnd"/>
            <w:r w:rsidRPr="00FC3740">
              <w:rPr>
                <w:rFonts w:ascii="宋体" w:hAnsi="宋体" w:hint="eastAsia"/>
                <w:b/>
                <w:color w:val="000000"/>
                <w:kern w:val="0"/>
                <w:szCs w:val="21"/>
                <w:lang/>
              </w:rPr>
              <w:t>图中的发布时间为准。</w:t>
            </w:r>
          </w:p>
          <w:p w:rsidR="00416647" w:rsidRPr="00730061" w:rsidRDefault="00416647" w:rsidP="00267CF3">
            <w:pPr>
              <w:widowControl/>
              <w:rPr>
                <w:rFonts w:ascii="宋体" w:hAnsi="宋体" w:hint="eastAsia"/>
                <w:color w:val="000000"/>
                <w:szCs w:val="21"/>
              </w:rPr>
            </w:pPr>
            <w:r w:rsidRPr="00FC3740">
              <w:rPr>
                <w:rFonts w:ascii="宋体" w:hAnsi="宋体" w:hint="eastAsia"/>
                <w:b/>
                <w:color w:val="000000"/>
                <w:kern w:val="0"/>
                <w:szCs w:val="21"/>
                <w:lang/>
              </w:rPr>
              <w:t>同一项目，不重复计分。</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宋体" w:hAnsi="宋体" w:hint="eastAsia"/>
                <w:color w:val="000000"/>
                <w:kern w:val="0"/>
                <w:szCs w:val="21"/>
                <w:lang/>
              </w:rPr>
              <w:t>20分</w:t>
            </w:r>
          </w:p>
        </w:tc>
      </w:tr>
      <w:tr w:rsidR="00416647" w:rsidRPr="00730061" w:rsidTr="00416647">
        <w:trPr>
          <w:trHeight w:val="3750"/>
        </w:trPr>
        <w:tc>
          <w:tcPr>
            <w:tcW w:w="1083" w:type="dxa"/>
            <w:vMerge/>
            <w:tcBorders>
              <w:top w:val="nil"/>
              <w:left w:val="single" w:sz="4" w:space="0" w:color="auto"/>
              <w:bottom w:val="single" w:sz="4" w:space="0" w:color="auto"/>
              <w:right w:val="single" w:sz="4" w:space="0" w:color="auto"/>
            </w:tcBorders>
            <w:noWrap/>
            <w:vAlign w:val="center"/>
          </w:tcPr>
          <w:p w:rsidR="00416647" w:rsidRPr="00730061" w:rsidRDefault="00416647" w:rsidP="00267CF3">
            <w:pPr>
              <w:rPr>
                <w:rFonts w:ascii="Times New Roman" w:hAnsi="Times New Roman"/>
                <w:sz w:val="20"/>
                <w:szCs w:val="20"/>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ind w:firstLineChars="100" w:firstLine="210"/>
              <w:jc w:val="left"/>
              <w:rPr>
                <w:rFonts w:ascii="宋体" w:hAnsi="宋体" w:hint="eastAsia"/>
                <w:color w:val="000000"/>
                <w:szCs w:val="21"/>
              </w:rPr>
            </w:pPr>
          </w:p>
          <w:p w:rsidR="00416647" w:rsidRPr="00730061" w:rsidRDefault="00416647" w:rsidP="00267CF3">
            <w:pPr>
              <w:widowControl/>
              <w:ind w:firstLineChars="100" w:firstLine="210"/>
              <w:jc w:val="left"/>
              <w:rPr>
                <w:rFonts w:ascii="宋体" w:hAnsi="宋体" w:hint="eastAsia"/>
                <w:color w:val="000000"/>
                <w:szCs w:val="21"/>
              </w:rPr>
            </w:pPr>
          </w:p>
          <w:p w:rsidR="00416647" w:rsidRPr="00730061" w:rsidRDefault="00416647" w:rsidP="00267CF3">
            <w:pPr>
              <w:widowControl/>
              <w:spacing w:line="380" w:lineRule="exact"/>
              <w:jc w:val="center"/>
              <w:rPr>
                <w:rFonts w:ascii="宋体" w:hAnsi="宋体" w:hint="eastAsia"/>
                <w:color w:val="000000"/>
                <w:szCs w:val="21"/>
              </w:rPr>
            </w:pPr>
            <w:r w:rsidRPr="00730061">
              <w:rPr>
                <w:rFonts w:ascii="宋体" w:hAnsi="宋体" w:hint="eastAsia"/>
                <w:color w:val="000000"/>
                <w:kern w:val="0"/>
                <w:szCs w:val="21"/>
                <w:lang/>
              </w:rPr>
              <w:t>项目</w:t>
            </w:r>
          </w:p>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宋体" w:hAnsi="宋体" w:hint="eastAsia"/>
                <w:color w:val="000000"/>
                <w:kern w:val="0"/>
                <w:szCs w:val="21"/>
                <w:lang/>
              </w:rPr>
              <w:t>负责人</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1.项目负责人同时具有高级职称和注册</w:t>
            </w:r>
            <w:proofErr w:type="gramStart"/>
            <w:r w:rsidRPr="00730061">
              <w:rPr>
                <w:rFonts w:ascii="宋体" w:hAnsi="宋体" w:hint="eastAsia"/>
                <w:color w:val="000000"/>
                <w:kern w:val="0"/>
                <w:szCs w:val="21"/>
                <w:lang/>
              </w:rPr>
              <w:t>造价师</w:t>
            </w:r>
            <w:proofErr w:type="gramEnd"/>
            <w:r w:rsidRPr="00730061">
              <w:rPr>
                <w:rFonts w:ascii="宋体" w:hAnsi="宋体" w:hint="eastAsia"/>
                <w:color w:val="000000"/>
                <w:kern w:val="0"/>
                <w:szCs w:val="21"/>
                <w:lang/>
              </w:rPr>
              <w:t>的</w:t>
            </w:r>
            <w:proofErr w:type="gramStart"/>
            <w:r w:rsidRPr="00730061">
              <w:rPr>
                <w:rFonts w:ascii="宋体" w:hAnsi="宋体" w:hint="eastAsia"/>
                <w:color w:val="000000"/>
                <w:kern w:val="0"/>
                <w:szCs w:val="21"/>
                <w:lang/>
              </w:rPr>
              <w:t>的</w:t>
            </w:r>
            <w:proofErr w:type="gramEnd"/>
            <w:r w:rsidRPr="00730061">
              <w:rPr>
                <w:rFonts w:ascii="宋体" w:hAnsi="宋体" w:hint="eastAsia"/>
                <w:color w:val="000000"/>
                <w:kern w:val="0"/>
                <w:szCs w:val="21"/>
                <w:lang/>
              </w:rPr>
              <w:t>得3分，有其中一项得1分；</w:t>
            </w:r>
          </w:p>
          <w:p w:rsidR="00416647" w:rsidRPr="00730061" w:rsidRDefault="00416647" w:rsidP="00267CF3">
            <w:pPr>
              <w:pStyle w:val="a4"/>
              <w:widowControl/>
              <w:spacing w:before="0" w:beforeAutospacing="0" w:after="0" w:afterAutospacing="0"/>
              <w:jc w:val="both"/>
              <w:rPr>
                <w:rFonts w:hint="eastAsia"/>
                <w:color w:val="000000"/>
                <w:sz w:val="21"/>
                <w:szCs w:val="21"/>
              </w:rPr>
            </w:pPr>
            <w:r w:rsidRPr="00730061">
              <w:rPr>
                <w:rFonts w:hint="eastAsia"/>
                <w:color w:val="000000"/>
                <w:sz w:val="21"/>
                <w:szCs w:val="21"/>
              </w:rPr>
              <w:t>2.项目负责人执业经验5年以上的得1分，10年及以上得2分；（以注册</w:t>
            </w:r>
            <w:proofErr w:type="gramStart"/>
            <w:r w:rsidRPr="00730061">
              <w:rPr>
                <w:rFonts w:hint="eastAsia"/>
                <w:color w:val="000000"/>
                <w:sz w:val="21"/>
                <w:szCs w:val="21"/>
              </w:rPr>
              <w:t>造价师</w:t>
            </w:r>
            <w:proofErr w:type="gramEnd"/>
            <w:r w:rsidRPr="00730061">
              <w:rPr>
                <w:rFonts w:hint="eastAsia"/>
                <w:color w:val="000000"/>
                <w:sz w:val="21"/>
                <w:szCs w:val="21"/>
              </w:rPr>
              <w:t>初始注册日期计算）</w:t>
            </w:r>
          </w:p>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3. 2015年1月1日起至今承担过4项单项造价金额3000万元及以上的工程项目造价咨询服务业绩的得3分，每增加1个加3分，最高得12分。</w:t>
            </w:r>
          </w:p>
          <w:p w:rsidR="00416647" w:rsidRPr="00730061" w:rsidRDefault="00416647" w:rsidP="00267CF3">
            <w:pPr>
              <w:widowControl/>
              <w:rPr>
                <w:rFonts w:ascii="宋体" w:hAnsi="宋体" w:hint="eastAsia"/>
                <w:color w:val="000000"/>
                <w:szCs w:val="21"/>
              </w:rPr>
            </w:pPr>
          </w:p>
          <w:p w:rsidR="00416647" w:rsidRPr="00FC3740" w:rsidRDefault="00416647" w:rsidP="00267CF3">
            <w:pPr>
              <w:widowControl/>
              <w:rPr>
                <w:rFonts w:ascii="宋体" w:hAnsi="宋体" w:hint="eastAsia"/>
                <w:b/>
                <w:color w:val="000000"/>
                <w:szCs w:val="21"/>
              </w:rPr>
            </w:pPr>
            <w:r w:rsidRPr="00FC3740">
              <w:rPr>
                <w:rFonts w:ascii="宋体" w:hAnsi="宋体" w:hint="eastAsia"/>
                <w:b/>
                <w:color w:val="000000"/>
                <w:kern w:val="0"/>
                <w:szCs w:val="21"/>
                <w:lang/>
              </w:rPr>
              <w:t>注：第1、2项需提供相关证书复印件并加盖单位公章；第3项需提供项目委托协议复印件或招标公告网页截图或咨询报告复印件加盖单位公章（必须含有造价机构项目负责人相关信息，时间以签订委托协议或咨询报告的时间或公告网页</w:t>
            </w:r>
            <w:proofErr w:type="gramStart"/>
            <w:r w:rsidRPr="00FC3740">
              <w:rPr>
                <w:rFonts w:ascii="宋体" w:hAnsi="宋体" w:hint="eastAsia"/>
                <w:b/>
                <w:color w:val="000000"/>
                <w:kern w:val="0"/>
                <w:szCs w:val="21"/>
                <w:lang/>
              </w:rPr>
              <w:t>截</w:t>
            </w:r>
            <w:proofErr w:type="gramEnd"/>
            <w:r w:rsidRPr="00FC3740">
              <w:rPr>
                <w:rFonts w:ascii="宋体" w:hAnsi="宋体" w:hint="eastAsia"/>
                <w:b/>
                <w:color w:val="000000"/>
                <w:kern w:val="0"/>
                <w:szCs w:val="21"/>
                <w:lang/>
              </w:rPr>
              <w:t>图中的发布时间为准）。</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Cs w:val="21"/>
              </w:rPr>
            </w:pPr>
          </w:p>
          <w:p w:rsidR="00416647" w:rsidRPr="00730061" w:rsidRDefault="00416647" w:rsidP="00267CF3">
            <w:pPr>
              <w:widowControl/>
              <w:spacing w:line="380" w:lineRule="exact"/>
              <w:jc w:val="left"/>
              <w:rPr>
                <w:rFonts w:ascii="宋体" w:hAnsi="宋体" w:hint="eastAsia"/>
                <w:color w:val="000000"/>
                <w:sz w:val="30"/>
                <w:szCs w:val="30"/>
              </w:rPr>
            </w:pPr>
            <w:r w:rsidRPr="00730061">
              <w:rPr>
                <w:rFonts w:ascii="宋体" w:hAnsi="宋体" w:hint="eastAsia"/>
                <w:color w:val="000000"/>
                <w:kern w:val="0"/>
                <w:szCs w:val="21"/>
                <w:lang/>
              </w:rPr>
              <w:t>17分</w:t>
            </w:r>
          </w:p>
        </w:tc>
      </w:tr>
      <w:tr w:rsidR="00416647" w:rsidRPr="00730061" w:rsidTr="00416647">
        <w:trPr>
          <w:trHeight w:val="558"/>
        </w:trPr>
        <w:tc>
          <w:tcPr>
            <w:tcW w:w="1083" w:type="dxa"/>
            <w:vMerge w:val="restart"/>
            <w:tcBorders>
              <w:top w:val="nil"/>
              <w:left w:val="single" w:sz="4" w:space="0" w:color="auto"/>
              <w:bottom w:val="single" w:sz="4" w:space="0" w:color="auto"/>
              <w:right w:val="single" w:sz="4" w:space="0" w:color="auto"/>
            </w:tcBorders>
            <w:noWrap/>
          </w:tcPr>
          <w:p w:rsidR="00416647" w:rsidRPr="00730061" w:rsidRDefault="00416647" w:rsidP="00267CF3">
            <w:pPr>
              <w:widowControl/>
              <w:spacing w:line="380" w:lineRule="exact"/>
              <w:rPr>
                <w:rFonts w:ascii="宋体" w:hAnsi="宋体" w:hint="eastAsia"/>
                <w:color w:val="000000"/>
                <w:sz w:val="30"/>
                <w:szCs w:val="30"/>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jc w:val="center"/>
              <w:rPr>
                <w:rFonts w:ascii="宋体" w:hAnsi="宋体" w:hint="eastAsia"/>
                <w:color w:val="000000"/>
                <w:szCs w:val="21"/>
              </w:rPr>
            </w:pPr>
            <w:r w:rsidRPr="00730061">
              <w:rPr>
                <w:rFonts w:ascii="宋体" w:hAnsi="宋体" w:hint="eastAsia"/>
                <w:color w:val="000000"/>
                <w:kern w:val="0"/>
                <w:szCs w:val="21"/>
                <w:lang/>
              </w:rPr>
              <w:t>项目组成员实力</w:t>
            </w:r>
          </w:p>
          <w:p w:rsidR="00416647" w:rsidRPr="00730061" w:rsidRDefault="00416647" w:rsidP="00267CF3">
            <w:pPr>
              <w:widowControl/>
              <w:jc w:val="center"/>
              <w:rPr>
                <w:rFonts w:ascii="宋体" w:hAnsi="宋体" w:hint="eastAsia"/>
                <w:color w:val="000000"/>
                <w:szCs w:val="21"/>
              </w:rPr>
            </w:pPr>
            <w:r w:rsidRPr="00730061">
              <w:rPr>
                <w:rFonts w:ascii="宋体" w:hAnsi="宋体" w:hint="eastAsia"/>
                <w:color w:val="000000"/>
                <w:kern w:val="0"/>
                <w:szCs w:val="21"/>
                <w:lang/>
              </w:rPr>
              <w:t>（项目负责人除外。</w:t>
            </w:r>
            <w:r w:rsidRPr="00730061">
              <w:rPr>
                <w:rFonts w:ascii="宋体" w:hAnsi="宋体" w:hint="eastAsia"/>
                <w:b/>
                <w:color w:val="000000"/>
                <w:kern w:val="0"/>
                <w:szCs w:val="21"/>
                <w:lang/>
              </w:rPr>
              <w:t>项目组成员最多列4</w:t>
            </w:r>
            <w:r w:rsidRPr="00730061">
              <w:rPr>
                <w:rFonts w:ascii="宋体" w:hAnsi="宋体" w:hint="eastAsia"/>
                <w:b/>
                <w:color w:val="000000"/>
                <w:kern w:val="0"/>
                <w:szCs w:val="21"/>
                <w:lang/>
              </w:rPr>
              <w:lastRenderedPageBreak/>
              <w:t>名</w:t>
            </w:r>
            <w:r w:rsidRPr="00730061">
              <w:rPr>
                <w:rFonts w:ascii="宋体" w:hAnsi="宋体" w:hint="eastAsia"/>
                <w:color w:val="000000"/>
                <w:kern w:val="0"/>
                <w:szCs w:val="21"/>
                <w:lang/>
              </w:rPr>
              <w:t>）</w:t>
            </w:r>
          </w:p>
        </w:tc>
        <w:tc>
          <w:tcPr>
            <w:tcW w:w="6868" w:type="dxa"/>
            <w:tcBorders>
              <w:top w:val="single" w:sz="4" w:space="0" w:color="auto"/>
              <w:left w:val="nil"/>
              <w:bottom w:val="single" w:sz="4" w:space="0" w:color="auto"/>
              <w:right w:val="single" w:sz="4" w:space="0" w:color="auto"/>
            </w:tcBorders>
            <w:noWrap/>
            <w:vAlign w:val="center"/>
          </w:tcPr>
          <w:p w:rsidR="00416647" w:rsidRDefault="00416647" w:rsidP="00267CF3">
            <w:pPr>
              <w:widowControl/>
              <w:rPr>
                <w:rFonts w:ascii="宋体" w:hAnsi="宋体" w:hint="eastAsia"/>
                <w:color w:val="000000"/>
                <w:kern w:val="0"/>
                <w:szCs w:val="21"/>
                <w:lang/>
              </w:rPr>
            </w:pPr>
          </w:p>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1.项目组成员具有高级职称的，每提供1人加1分，最高加3分；具有中级及以上职称的，每提供1人得0.5分，最高得1分。</w:t>
            </w:r>
          </w:p>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2.项目组成员具有注册</w:t>
            </w:r>
            <w:proofErr w:type="gramStart"/>
            <w:r w:rsidRPr="00730061">
              <w:rPr>
                <w:rFonts w:ascii="宋体" w:hAnsi="宋体" w:hint="eastAsia"/>
                <w:color w:val="000000"/>
                <w:kern w:val="0"/>
                <w:szCs w:val="21"/>
                <w:lang/>
              </w:rPr>
              <w:t>造价师</w:t>
            </w:r>
            <w:proofErr w:type="gramEnd"/>
            <w:r w:rsidRPr="00730061">
              <w:rPr>
                <w:rFonts w:ascii="宋体" w:hAnsi="宋体" w:hint="eastAsia"/>
                <w:color w:val="000000"/>
                <w:kern w:val="0"/>
                <w:szCs w:val="21"/>
                <w:lang/>
              </w:rPr>
              <w:t>证书的，每提供1人加2分，最高得4分；</w:t>
            </w:r>
          </w:p>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3. 2015年1月1日以来承担过单项造价金额1000万元及以上的工程项目造价咨询服务业绩的得1分，每一名成员最多加2 分，最高得8分。</w:t>
            </w:r>
          </w:p>
          <w:p w:rsidR="00416647" w:rsidRDefault="00416647" w:rsidP="00267CF3">
            <w:pPr>
              <w:widowControl/>
              <w:rPr>
                <w:rFonts w:ascii="宋体" w:hAnsi="宋体" w:hint="eastAsia"/>
                <w:b/>
                <w:bCs/>
                <w:color w:val="000000"/>
                <w:kern w:val="0"/>
                <w:szCs w:val="21"/>
                <w:lang/>
              </w:rPr>
            </w:pPr>
          </w:p>
          <w:p w:rsidR="00416647" w:rsidRPr="00BD6080" w:rsidRDefault="00416647" w:rsidP="00267CF3">
            <w:pPr>
              <w:widowControl/>
              <w:rPr>
                <w:rFonts w:ascii="宋体" w:hAnsi="宋体" w:hint="eastAsia"/>
                <w:b/>
                <w:color w:val="000000"/>
                <w:szCs w:val="21"/>
              </w:rPr>
            </w:pPr>
            <w:r w:rsidRPr="00BD6080">
              <w:rPr>
                <w:rFonts w:ascii="宋体" w:hAnsi="宋体" w:hint="eastAsia"/>
                <w:b/>
                <w:color w:val="000000"/>
                <w:kern w:val="0"/>
                <w:szCs w:val="21"/>
                <w:lang/>
              </w:rPr>
              <w:lastRenderedPageBreak/>
              <w:t>注：第1、2项需提供相关证书及证明文件复印件并加盖单位公章；第</w:t>
            </w:r>
            <w:r>
              <w:rPr>
                <w:rFonts w:ascii="宋体" w:hAnsi="宋体" w:hint="eastAsia"/>
                <w:b/>
                <w:color w:val="000000"/>
                <w:kern w:val="0"/>
                <w:szCs w:val="21"/>
                <w:lang/>
              </w:rPr>
              <w:t>3</w:t>
            </w:r>
            <w:r w:rsidRPr="00BD6080">
              <w:rPr>
                <w:rFonts w:ascii="宋体" w:hAnsi="宋体" w:hint="eastAsia"/>
                <w:b/>
                <w:color w:val="000000"/>
                <w:kern w:val="0"/>
                <w:szCs w:val="21"/>
                <w:lang/>
              </w:rPr>
              <w:t>需提供项目委托协议复印件或招标公告网页截图</w:t>
            </w:r>
            <w:r>
              <w:rPr>
                <w:rFonts w:ascii="宋体" w:hAnsi="宋体" w:hint="eastAsia"/>
                <w:b/>
                <w:color w:val="000000"/>
                <w:kern w:val="0"/>
                <w:szCs w:val="21"/>
                <w:lang/>
              </w:rPr>
              <w:t>或咨询报告复印件并</w:t>
            </w:r>
            <w:r w:rsidRPr="00BD6080">
              <w:rPr>
                <w:rFonts w:ascii="宋体" w:hAnsi="宋体" w:hint="eastAsia"/>
                <w:b/>
                <w:color w:val="000000"/>
                <w:kern w:val="0"/>
                <w:szCs w:val="21"/>
                <w:lang/>
              </w:rPr>
              <w:t>加盖单位公章（必须含有</w:t>
            </w:r>
            <w:r>
              <w:rPr>
                <w:rFonts w:ascii="宋体" w:hAnsi="宋体" w:hint="eastAsia"/>
                <w:b/>
                <w:color w:val="000000"/>
                <w:kern w:val="0"/>
                <w:szCs w:val="21"/>
                <w:lang/>
              </w:rPr>
              <w:t>造价咨询</w:t>
            </w:r>
            <w:r w:rsidRPr="00BD6080">
              <w:rPr>
                <w:rFonts w:ascii="宋体" w:hAnsi="宋体" w:hint="eastAsia"/>
                <w:b/>
                <w:color w:val="000000"/>
                <w:kern w:val="0"/>
                <w:szCs w:val="21"/>
                <w:lang/>
              </w:rPr>
              <w:t>机构</w:t>
            </w:r>
            <w:r>
              <w:rPr>
                <w:rFonts w:ascii="宋体" w:hAnsi="宋体" w:hint="eastAsia"/>
                <w:b/>
                <w:color w:val="000000"/>
                <w:kern w:val="0"/>
                <w:szCs w:val="21"/>
                <w:lang/>
              </w:rPr>
              <w:t>成员</w:t>
            </w:r>
            <w:r w:rsidRPr="00BD6080">
              <w:rPr>
                <w:rFonts w:ascii="宋体" w:hAnsi="宋体" w:hint="eastAsia"/>
                <w:b/>
                <w:color w:val="000000"/>
                <w:kern w:val="0"/>
                <w:szCs w:val="21"/>
                <w:lang/>
              </w:rPr>
              <w:t>相关信息，时间以签订委托协议</w:t>
            </w:r>
            <w:r>
              <w:rPr>
                <w:rFonts w:ascii="宋体" w:hAnsi="宋体" w:hint="eastAsia"/>
                <w:b/>
                <w:color w:val="000000"/>
                <w:kern w:val="0"/>
                <w:szCs w:val="21"/>
                <w:lang/>
              </w:rPr>
              <w:t>或咨询报告的时间或公告网页</w:t>
            </w:r>
            <w:proofErr w:type="gramStart"/>
            <w:r>
              <w:rPr>
                <w:rFonts w:ascii="宋体" w:hAnsi="宋体" w:hint="eastAsia"/>
                <w:b/>
                <w:color w:val="000000"/>
                <w:kern w:val="0"/>
                <w:szCs w:val="21"/>
                <w:lang/>
              </w:rPr>
              <w:t>截</w:t>
            </w:r>
            <w:proofErr w:type="gramEnd"/>
            <w:r>
              <w:rPr>
                <w:rFonts w:ascii="宋体" w:hAnsi="宋体" w:hint="eastAsia"/>
                <w:b/>
                <w:color w:val="000000"/>
                <w:kern w:val="0"/>
                <w:szCs w:val="21"/>
                <w:lang/>
              </w:rPr>
              <w:t>图中的发布时间为准</w:t>
            </w:r>
            <w:r w:rsidRPr="00BD6080">
              <w:rPr>
                <w:rFonts w:ascii="宋体" w:hAnsi="宋体" w:hint="eastAsia"/>
                <w:b/>
                <w:color w:val="000000"/>
                <w:kern w:val="0"/>
                <w:szCs w:val="21"/>
                <w:lang/>
              </w:rPr>
              <w:t>）。</w:t>
            </w:r>
          </w:p>
          <w:p w:rsidR="00416647" w:rsidRPr="00FC3740" w:rsidRDefault="00416647" w:rsidP="00267CF3">
            <w:pPr>
              <w:widowControl/>
              <w:rPr>
                <w:rFonts w:ascii="宋体" w:hAnsi="宋体" w:hint="eastAsia"/>
                <w:color w:val="000000"/>
                <w:szCs w:val="21"/>
              </w:rPr>
            </w:pP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宋体" w:hAnsi="宋体" w:hint="eastAsia"/>
                <w:color w:val="000000"/>
                <w:kern w:val="0"/>
                <w:szCs w:val="21"/>
                <w:lang/>
              </w:rPr>
              <w:lastRenderedPageBreak/>
              <w:t>16分</w:t>
            </w:r>
          </w:p>
        </w:tc>
      </w:tr>
      <w:tr w:rsidR="00416647" w:rsidRPr="00730061" w:rsidTr="00416647">
        <w:trPr>
          <w:trHeight w:val="841"/>
        </w:trPr>
        <w:tc>
          <w:tcPr>
            <w:tcW w:w="1083" w:type="dxa"/>
            <w:vMerge/>
            <w:tcBorders>
              <w:top w:val="nil"/>
              <w:left w:val="single" w:sz="4" w:space="0" w:color="auto"/>
              <w:bottom w:val="single" w:sz="4" w:space="0" w:color="auto"/>
              <w:right w:val="single" w:sz="4" w:space="0" w:color="auto"/>
            </w:tcBorders>
            <w:noWrap/>
          </w:tcPr>
          <w:p w:rsidR="00416647" w:rsidRPr="00730061" w:rsidRDefault="00416647" w:rsidP="00267CF3">
            <w:pPr>
              <w:rPr>
                <w:rFonts w:ascii="Times New Roman" w:hAnsi="Times New Roman"/>
                <w:sz w:val="20"/>
                <w:szCs w:val="20"/>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jc w:val="center"/>
              <w:rPr>
                <w:rFonts w:ascii="宋体" w:hAnsi="宋体" w:hint="eastAsia"/>
                <w:color w:val="000000"/>
                <w:szCs w:val="21"/>
              </w:rPr>
            </w:pPr>
            <w:r w:rsidRPr="00730061">
              <w:rPr>
                <w:rFonts w:ascii="宋体" w:hAnsi="宋体" w:hint="eastAsia"/>
                <w:color w:val="000000"/>
                <w:kern w:val="0"/>
                <w:szCs w:val="21"/>
                <w:lang/>
              </w:rPr>
              <w:t>本地化</w:t>
            </w:r>
          </w:p>
          <w:p w:rsidR="00416647" w:rsidRPr="00730061" w:rsidRDefault="00416647" w:rsidP="00267CF3">
            <w:pPr>
              <w:widowControl/>
              <w:jc w:val="center"/>
              <w:rPr>
                <w:rFonts w:ascii="宋体" w:hAnsi="宋体" w:hint="eastAsia"/>
                <w:color w:val="000000"/>
                <w:sz w:val="30"/>
                <w:szCs w:val="30"/>
              </w:rPr>
            </w:pPr>
            <w:r w:rsidRPr="00730061">
              <w:rPr>
                <w:rFonts w:ascii="宋体" w:hAnsi="宋体" w:hint="eastAsia"/>
                <w:color w:val="000000"/>
                <w:kern w:val="0"/>
                <w:szCs w:val="21"/>
                <w:lang/>
              </w:rPr>
              <w:t>服务</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能提供本地化服务，在本地区有经营场所，横向比较经营面积、环境、软件设备、车辆等实力，评1-6分（提供相关证明材料）</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宋体" w:hAnsi="宋体" w:hint="eastAsia"/>
                <w:color w:val="000000"/>
                <w:kern w:val="0"/>
                <w:szCs w:val="21"/>
                <w:lang/>
              </w:rPr>
              <w:t>6分</w:t>
            </w:r>
          </w:p>
        </w:tc>
      </w:tr>
      <w:tr w:rsidR="00416647" w:rsidRPr="00730061" w:rsidTr="00416647">
        <w:trPr>
          <w:trHeight w:val="1683"/>
        </w:trPr>
        <w:tc>
          <w:tcPr>
            <w:tcW w:w="1083" w:type="dxa"/>
            <w:vMerge/>
            <w:tcBorders>
              <w:top w:val="nil"/>
              <w:left w:val="single" w:sz="4" w:space="0" w:color="auto"/>
              <w:bottom w:val="single" w:sz="4" w:space="0" w:color="auto"/>
              <w:right w:val="single" w:sz="4" w:space="0" w:color="auto"/>
            </w:tcBorders>
            <w:noWrap/>
          </w:tcPr>
          <w:p w:rsidR="00416647" w:rsidRPr="00730061" w:rsidRDefault="00416647" w:rsidP="00267CF3">
            <w:pPr>
              <w:rPr>
                <w:rFonts w:ascii="Times New Roman" w:hAnsi="Times New Roman"/>
                <w:sz w:val="20"/>
                <w:szCs w:val="20"/>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宋体" w:hAnsi="宋体" w:hint="eastAsia"/>
                <w:color w:val="000000"/>
                <w:kern w:val="0"/>
                <w:szCs w:val="21"/>
                <w:lang/>
              </w:rPr>
              <w:t>企业获奖情况</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1.企业自2017年度至今获得省级及以上建设行政主管部门（或行业协会）授予的工程造价咨询优秀单位荣誉的，得2分；</w:t>
            </w:r>
          </w:p>
          <w:p w:rsidR="00416647" w:rsidRPr="00730061" w:rsidRDefault="00416647" w:rsidP="00267CF3">
            <w:pPr>
              <w:widowControl/>
              <w:ind w:left="315" w:hangingChars="150" w:hanging="315"/>
              <w:rPr>
                <w:rFonts w:ascii="宋体" w:hAnsi="宋体" w:hint="eastAsia"/>
                <w:color w:val="000000"/>
                <w:szCs w:val="21"/>
              </w:rPr>
            </w:pPr>
            <w:r w:rsidRPr="00730061">
              <w:rPr>
                <w:rFonts w:ascii="宋体" w:hAnsi="宋体" w:hint="eastAsia"/>
                <w:color w:val="000000"/>
                <w:kern w:val="0"/>
                <w:szCs w:val="21"/>
                <w:lang/>
              </w:rPr>
              <w:t>2.企业自2017年度至今获得中国建设工程造价管理协会企业信用评价</w:t>
            </w:r>
          </w:p>
          <w:p w:rsidR="00416647" w:rsidRPr="00730061" w:rsidRDefault="00416647" w:rsidP="00267CF3">
            <w:pPr>
              <w:widowControl/>
              <w:ind w:left="315" w:hangingChars="150" w:hanging="315"/>
              <w:rPr>
                <w:rFonts w:ascii="宋体" w:hAnsi="宋体" w:hint="eastAsia"/>
                <w:color w:val="000000"/>
                <w:szCs w:val="21"/>
              </w:rPr>
            </w:pPr>
            <w:r w:rsidRPr="00730061">
              <w:rPr>
                <w:rFonts w:ascii="宋体" w:hAnsi="宋体" w:hint="eastAsia"/>
                <w:color w:val="000000"/>
                <w:kern w:val="0"/>
                <w:szCs w:val="21"/>
                <w:lang/>
              </w:rPr>
              <w:t>AAA等级的得3分，AA等级的得2分。</w:t>
            </w:r>
          </w:p>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需提供有效证明文件复印件并加盖公章。</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Cs w:val="21"/>
              </w:rPr>
            </w:pPr>
            <w:r w:rsidRPr="00730061">
              <w:rPr>
                <w:rFonts w:ascii="宋体" w:hAnsi="宋体" w:hint="eastAsia"/>
                <w:color w:val="000000"/>
                <w:kern w:val="0"/>
                <w:szCs w:val="21"/>
                <w:lang/>
              </w:rPr>
              <w:t>5分</w:t>
            </w:r>
          </w:p>
        </w:tc>
      </w:tr>
      <w:tr w:rsidR="00416647" w:rsidRPr="00730061" w:rsidTr="00416647">
        <w:trPr>
          <w:trHeight w:val="904"/>
        </w:trPr>
        <w:tc>
          <w:tcPr>
            <w:tcW w:w="1083" w:type="dxa"/>
            <w:vMerge w:val="restart"/>
            <w:tcBorders>
              <w:top w:val="nil"/>
              <w:left w:val="single" w:sz="4" w:space="0" w:color="auto"/>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Cs w:val="21"/>
              </w:rPr>
            </w:pPr>
            <w:r w:rsidRPr="00730061">
              <w:rPr>
                <w:rFonts w:ascii="宋体" w:hAnsi="宋体" w:hint="eastAsia"/>
                <w:color w:val="000000"/>
                <w:kern w:val="0"/>
                <w:szCs w:val="21"/>
                <w:lang/>
              </w:rPr>
              <w:t>技术部分</w:t>
            </w:r>
          </w:p>
          <w:p w:rsidR="00416647" w:rsidRPr="00730061" w:rsidRDefault="00416647" w:rsidP="00267CF3">
            <w:pPr>
              <w:widowControl/>
              <w:spacing w:line="380" w:lineRule="exact"/>
              <w:jc w:val="center"/>
              <w:rPr>
                <w:rFonts w:ascii="宋体" w:hAnsi="宋体" w:hint="eastAsia"/>
                <w:color w:val="000000"/>
                <w:szCs w:val="21"/>
              </w:rPr>
            </w:pPr>
            <w:r w:rsidRPr="00730061">
              <w:rPr>
                <w:rFonts w:ascii="宋体" w:hAnsi="宋体" w:hint="eastAsia"/>
                <w:color w:val="000000"/>
                <w:kern w:val="0"/>
                <w:szCs w:val="21"/>
                <w:lang/>
              </w:rPr>
              <w:t>（27分）</w:t>
            </w:r>
          </w:p>
          <w:p w:rsidR="00416647" w:rsidRPr="00730061" w:rsidRDefault="00416647" w:rsidP="00267CF3">
            <w:pPr>
              <w:widowControl/>
              <w:jc w:val="left"/>
              <w:rPr>
                <w:rFonts w:ascii="ËÎÌå" w:eastAsia="Arial Unicode MS" w:hAnsi="ËÎÌå"/>
                <w:color w:val="000000"/>
                <w:szCs w:val="21"/>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jc w:val="center"/>
              <w:rPr>
                <w:rFonts w:ascii="宋体" w:hAnsi="宋体" w:hint="eastAsia"/>
                <w:color w:val="000000"/>
                <w:szCs w:val="21"/>
              </w:rPr>
            </w:pPr>
            <w:r w:rsidRPr="00730061">
              <w:rPr>
                <w:rFonts w:ascii="宋体" w:hAnsi="宋体" w:hint="eastAsia"/>
                <w:color w:val="000000"/>
                <w:kern w:val="0"/>
                <w:szCs w:val="21"/>
                <w:lang/>
              </w:rPr>
              <w:t>总体工作方案</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提供总体工作方案，从合理性、科学性、先进性、可操作性等几个方面按 1-5分进行综合评分</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Cs w:val="21"/>
              </w:rPr>
            </w:pPr>
            <w:r w:rsidRPr="00730061">
              <w:rPr>
                <w:rFonts w:ascii="宋体" w:hAnsi="宋体" w:hint="eastAsia"/>
                <w:color w:val="000000"/>
                <w:kern w:val="0"/>
                <w:szCs w:val="21"/>
                <w:lang/>
              </w:rPr>
              <w:t>5分</w:t>
            </w:r>
          </w:p>
        </w:tc>
      </w:tr>
      <w:tr w:rsidR="00416647" w:rsidRPr="00730061" w:rsidTr="00416647">
        <w:trPr>
          <w:trHeight w:val="1401"/>
        </w:trPr>
        <w:tc>
          <w:tcPr>
            <w:tcW w:w="1083" w:type="dxa"/>
            <w:vMerge/>
            <w:tcBorders>
              <w:top w:val="nil"/>
              <w:left w:val="single" w:sz="4" w:space="0" w:color="auto"/>
              <w:bottom w:val="single" w:sz="4" w:space="0" w:color="auto"/>
              <w:right w:val="single" w:sz="4" w:space="0" w:color="auto"/>
            </w:tcBorders>
            <w:noWrap/>
            <w:vAlign w:val="center"/>
          </w:tcPr>
          <w:p w:rsidR="00416647" w:rsidRPr="00730061" w:rsidRDefault="00416647" w:rsidP="00267CF3">
            <w:pPr>
              <w:rPr>
                <w:rFonts w:ascii="Times New Roman" w:hAnsi="Times New Roman"/>
                <w:sz w:val="20"/>
                <w:szCs w:val="20"/>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宋体" w:hAnsi="宋体" w:hint="eastAsia"/>
                <w:color w:val="000000"/>
                <w:kern w:val="0"/>
                <w:szCs w:val="21"/>
                <w:lang/>
              </w:rPr>
              <w:t>内部管理制度</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工程造价咨询机构内部管理制度：</w:t>
            </w:r>
          </w:p>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1</w:t>
            </w:r>
            <w:r w:rsidRPr="00730061">
              <w:rPr>
                <w:rFonts w:ascii="宋体" w:hAnsi="宋体" w:cs="Calibri" w:hint="eastAsia"/>
                <w:color w:val="000000"/>
                <w:kern w:val="0"/>
                <w:szCs w:val="21"/>
                <w:lang/>
              </w:rPr>
              <w:t>.</w:t>
            </w:r>
            <w:r w:rsidRPr="00730061">
              <w:rPr>
                <w:rFonts w:ascii="宋体" w:hAnsi="宋体" w:hint="eastAsia"/>
                <w:color w:val="000000"/>
                <w:kern w:val="0"/>
                <w:szCs w:val="21"/>
                <w:lang/>
              </w:rPr>
              <w:t>各项管理制度，健全完善得2分，一般得0-1分；</w:t>
            </w:r>
          </w:p>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2</w:t>
            </w:r>
            <w:r w:rsidRPr="00730061">
              <w:rPr>
                <w:rFonts w:ascii="宋体" w:hAnsi="宋体" w:cs="Calibri" w:hint="eastAsia"/>
                <w:color w:val="000000"/>
                <w:kern w:val="0"/>
                <w:szCs w:val="21"/>
                <w:lang/>
              </w:rPr>
              <w:t>.</w:t>
            </w:r>
            <w:r w:rsidRPr="00730061">
              <w:rPr>
                <w:rFonts w:ascii="宋体" w:hAnsi="宋体" w:hint="eastAsia"/>
                <w:color w:val="000000"/>
                <w:kern w:val="0"/>
                <w:szCs w:val="21"/>
                <w:lang/>
              </w:rPr>
              <w:t>具有考核措施及奖惩办法且合理得2分，一般得0-1分；</w:t>
            </w:r>
          </w:p>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申请人需提供公司管理制度等书面佐证材料。</w:t>
            </w:r>
          </w:p>
        </w:tc>
        <w:tc>
          <w:tcPr>
            <w:tcW w:w="992" w:type="dxa"/>
            <w:tcBorders>
              <w:top w:val="single" w:sz="4" w:space="0" w:color="auto"/>
              <w:left w:val="nil"/>
              <w:bottom w:val="single" w:sz="4" w:space="0" w:color="auto"/>
              <w:right w:val="single" w:sz="4" w:space="0" w:color="auto"/>
            </w:tcBorders>
            <w:noWrap/>
            <w:vAlign w:val="center"/>
          </w:tcPr>
          <w:p w:rsidR="00416647" w:rsidRPr="00037158" w:rsidRDefault="00416647" w:rsidP="00267CF3">
            <w:pPr>
              <w:widowControl/>
              <w:spacing w:line="380" w:lineRule="exact"/>
              <w:jc w:val="center"/>
              <w:rPr>
                <w:rFonts w:ascii="宋体" w:hAnsi="宋体" w:hint="eastAsia"/>
                <w:color w:val="000000"/>
                <w:kern w:val="0"/>
                <w:szCs w:val="21"/>
                <w:lang/>
              </w:rPr>
            </w:pPr>
            <w:r w:rsidRPr="00730061">
              <w:rPr>
                <w:rFonts w:ascii="宋体" w:hAnsi="宋体" w:hint="eastAsia"/>
                <w:color w:val="000000"/>
                <w:kern w:val="0"/>
                <w:szCs w:val="21"/>
                <w:lang/>
              </w:rPr>
              <w:t>4分</w:t>
            </w:r>
          </w:p>
        </w:tc>
      </w:tr>
      <w:tr w:rsidR="00416647" w:rsidRPr="00730061" w:rsidTr="00416647">
        <w:trPr>
          <w:trHeight w:val="1356"/>
        </w:trPr>
        <w:tc>
          <w:tcPr>
            <w:tcW w:w="1083" w:type="dxa"/>
            <w:vMerge/>
            <w:tcBorders>
              <w:top w:val="nil"/>
              <w:left w:val="single" w:sz="4" w:space="0" w:color="auto"/>
              <w:bottom w:val="single" w:sz="4" w:space="0" w:color="auto"/>
              <w:right w:val="single" w:sz="4" w:space="0" w:color="auto"/>
            </w:tcBorders>
            <w:noWrap/>
            <w:vAlign w:val="center"/>
          </w:tcPr>
          <w:p w:rsidR="00416647" w:rsidRPr="00730061" w:rsidRDefault="00416647" w:rsidP="00267CF3">
            <w:pPr>
              <w:rPr>
                <w:rFonts w:ascii="Times New Roman" w:hAnsi="Times New Roman"/>
                <w:sz w:val="20"/>
                <w:szCs w:val="20"/>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273" w:lineRule="auto"/>
              <w:jc w:val="center"/>
              <w:rPr>
                <w:rFonts w:ascii="宋体" w:hAnsi="宋体" w:hint="eastAsia"/>
                <w:color w:val="000000"/>
                <w:szCs w:val="21"/>
              </w:rPr>
            </w:pPr>
            <w:r w:rsidRPr="00730061">
              <w:rPr>
                <w:rFonts w:ascii="宋体" w:hAnsi="宋体" w:hint="eastAsia"/>
                <w:color w:val="000000"/>
                <w:kern w:val="0"/>
                <w:szCs w:val="21"/>
                <w:lang/>
              </w:rPr>
              <w:t>服务保证措施</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提供质量保障措施方案，包含:1、争议及索赔问题的处理；2、质量保证措施；3、在造价控制过程中出现偏差时的纠偏措施等内容；4、制定切实可行的风险防范措施等。</w:t>
            </w:r>
          </w:p>
          <w:p w:rsidR="00416647" w:rsidRPr="00730061" w:rsidRDefault="00416647" w:rsidP="00267CF3">
            <w:pPr>
              <w:widowControl/>
              <w:rPr>
                <w:rFonts w:ascii="宋体" w:eastAsia="Arial Unicode MS" w:hAnsi="宋体" w:hint="eastAsia"/>
                <w:b/>
                <w:sz w:val="24"/>
              </w:rPr>
            </w:pPr>
            <w:r w:rsidRPr="00730061">
              <w:rPr>
                <w:rFonts w:ascii="宋体" w:hAnsi="宋体" w:hint="eastAsia"/>
                <w:color w:val="000000"/>
                <w:kern w:val="0"/>
                <w:szCs w:val="21"/>
                <w:lang/>
              </w:rPr>
              <w:t>从如上几方面，按1-5分进行综合评分</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eastAsia="Arial Unicode MS" w:hAnsi="宋体" w:hint="eastAsia"/>
                <w:sz w:val="24"/>
              </w:rPr>
            </w:pPr>
            <w:r w:rsidRPr="00037158">
              <w:rPr>
                <w:rFonts w:ascii="宋体" w:hAnsi="宋体"/>
                <w:color w:val="000000"/>
                <w:kern w:val="0"/>
                <w:szCs w:val="21"/>
                <w:lang/>
              </w:rPr>
              <w:t>5分</w:t>
            </w:r>
          </w:p>
        </w:tc>
      </w:tr>
      <w:tr w:rsidR="00416647" w:rsidRPr="00730061" w:rsidTr="00416647">
        <w:trPr>
          <w:trHeight w:val="90"/>
        </w:trPr>
        <w:tc>
          <w:tcPr>
            <w:tcW w:w="1083" w:type="dxa"/>
            <w:vMerge/>
            <w:tcBorders>
              <w:top w:val="nil"/>
              <w:left w:val="single" w:sz="4" w:space="0" w:color="auto"/>
              <w:bottom w:val="single" w:sz="4" w:space="0" w:color="auto"/>
              <w:right w:val="single" w:sz="4" w:space="0" w:color="auto"/>
            </w:tcBorders>
            <w:noWrap/>
            <w:vAlign w:val="center"/>
          </w:tcPr>
          <w:p w:rsidR="00416647" w:rsidRPr="00730061" w:rsidRDefault="00416647" w:rsidP="00267CF3">
            <w:pPr>
              <w:rPr>
                <w:rFonts w:ascii="Times New Roman" w:hAnsi="Times New Roman"/>
                <w:sz w:val="20"/>
                <w:szCs w:val="20"/>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273" w:lineRule="auto"/>
              <w:jc w:val="center"/>
              <w:rPr>
                <w:rFonts w:ascii="宋体" w:hAnsi="宋体" w:hint="eastAsia"/>
                <w:color w:val="000000"/>
                <w:szCs w:val="21"/>
              </w:rPr>
            </w:pPr>
            <w:r w:rsidRPr="00730061">
              <w:rPr>
                <w:rFonts w:ascii="宋体" w:hAnsi="宋体" w:hint="eastAsia"/>
                <w:color w:val="000000"/>
                <w:kern w:val="0"/>
                <w:szCs w:val="21"/>
                <w:lang/>
              </w:rPr>
              <w:t>工作时效保证措施</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对项目造价咨询业务时效保证措施可靠性强，有详细的进度承诺及控制措施，处罚措施明确且全面可行的得 2～4分；</w:t>
            </w:r>
          </w:p>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有较为详细的进度承诺及控制措施，处罚措施明确但不够全面的得 1～2 分；</w:t>
            </w:r>
          </w:p>
          <w:p w:rsidR="00416647" w:rsidRPr="00730061" w:rsidRDefault="00416647" w:rsidP="00267CF3">
            <w:pPr>
              <w:widowControl/>
              <w:rPr>
                <w:rFonts w:ascii="宋体" w:hAnsi="宋体" w:hint="eastAsia"/>
                <w:color w:val="000000"/>
                <w:szCs w:val="21"/>
                <w:highlight w:val="yellow"/>
              </w:rPr>
            </w:pPr>
            <w:r w:rsidRPr="00730061">
              <w:rPr>
                <w:rFonts w:ascii="宋体" w:hAnsi="宋体" w:hint="eastAsia"/>
                <w:color w:val="000000"/>
                <w:kern w:val="0"/>
                <w:szCs w:val="21"/>
                <w:lang/>
              </w:rPr>
              <w:t xml:space="preserve">未提供，0 分。                            </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宋体" w:hAnsi="宋体" w:hint="eastAsia"/>
                <w:color w:val="000000"/>
                <w:kern w:val="0"/>
                <w:szCs w:val="21"/>
                <w:lang/>
              </w:rPr>
              <w:t>4分</w:t>
            </w:r>
          </w:p>
        </w:tc>
      </w:tr>
      <w:tr w:rsidR="00416647" w:rsidRPr="00730061" w:rsidTr="00416647">
        <w:trPr>
          <w:trHeight w:val="541"/>
        </w:trPr>
        <w:tc>
          <w:tcPr>
            <w:tcW w:w="1083" w:type="dxa"/>
            <w:vMerge/>
            <w:tcBorders>
              <w:top w:val="nil"/>
              <w:left w:val="single" w:sz="4" w:space="0" w:color="auto"/>
              <w:bottom w:val="single" w:sz="4" w:space="0" w:color="auto"/>
              <w:right w:val="single" w:sz="4" w:space="0" w:color="auto"/>
            </w:tcBorders>
            <w:noWrap/>
            <w:vAlign w:val="center"/>
          </w:tcPr>
          <w:p w:rsidR="00416647" w:rsidRPr="00730061" w:rsidRDefault="00416647" w:rsidP="00267CF3">
            <w:pPr>
              <w:rPr>
                <w:rFonts w:ascii="Times New Roman" w:hAnsi="Times New Roman"/>
                <w:sz w:val="20"/>
                <w:szCs w:val="20"/>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left"/>
              <w:rPr>
                <w:rFonts w:ascii="宋体" w:hAnsi="宋体" w:hint="eastAsia"/>
                <w:color w:val="000000"/>
                <w:sz w:val="30"/>
                <w:szCs w:val="30"/>
              </w:rPr>
            </w:pPr>
            <w:r w:rsidRPr="00730061">
              <w:rPr>
                <w:rFonts w:ascii="宋体" w:hAnsi="宋体" w:hint="eastAsia"/>
                <w:color w:val="000000"/>
                <w:kern w:val="0"/>
                <w:szCs w:val="21"/>
                <w:lang/>
              </w:rPr>
              <w:t>人员配备</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项目组人员配备专业分配，职责分工，管理制度按0-3分进行综合评分</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宋体" w:hAnsi="宋体" w:hint="eastAsia"/>
                <w:color w:val="000000"/>
                <w:kern w:val="0"/>
                <w:szCs w:val="21"/>
                <w:lang/>
              </w:rPr>
              <w:t>3分</w:t>
            </w:r>
          </w:p>
        </w:tc>
      </w:tr>
      <w:tr w:rsidR="00416647" w:rsidRPr="00730061" w:rsidTr="00416647">
        <w:trPr>
          <w:trHeight w:val="748"/>
        </w:trPr>
        <w:tc>
          <w:tcPr>
            <w:tcW w:w="1083" w:type="dxa"/>
            <w:vMerge/>
            <w:tcBorders>
              <w:top w:val="nil"/>
              <w:left w:val="single" w:sz="4" w:space="0" w:color="auto"/>
              <w:bottom w:val="single" w:sz="4" w:space="0" w:color="auto"/>
              <w:right w:val="single" w:sz="4" w:space="0" w:color="auto"/>
            </w:tcBorders>
            <w:noWrap/>
            <w:vAlign w:val="center"/>
          </w:tcPr>
          <w:p w:rsidR="00416647" w:rsidRPr="00730061" w:rsidRDefault="00416647" w:rsidP="00267CF3">
            <w:pPr>
              <w:rPr>
                <w:rFonts w:ascii="Times New Roman" w:hAnsi="Times New Roman"/>
                <w:sz w:val="20"/>
                <w:szCs w:val="20"/>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273" w:lineRule="auto"/>
              <w:jc w:val="center"/>
              <w:rPr>
                <w:rFonts w:ascii="宋体" w:hAnsi="宋体" w:hint="eastAsia"/>
                <w:color w:val="000000"/>
                <w:szCs w:val="21"/>
              </w:rPr>
            </w:pPr>
            <w:r w:rsidRPr="00730061">
              <w:rPr>
                <w:rFonts w:ascii="宋体" w:hAnsi="宋体" w:hint="eastAsia"/>
                <w:color w:val="000000"/>
                <w:kern w:val="0"/>
                <w:szCs w:val="21"/>
                <w:lang/>
              </w:rPr>
              <w:t>档案管理</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根据提出的档案管理措施和方法的完善、合理等几个方面在 0-3 分进行综合评分</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Cs w:val="21"/>
              </w:rPr>
            </w:pPr>
            <w:r w:rsidRPr="00730061">
              <w:rPr>
                <w:rFonts w:ascii="宋体" w:hAnsi="宋体" w:hint="eastAsia"/>
                <w:color w:val="000000"/>
                <w:kern w:val="0"/>
                <w:szCs w:val="21"/>
                <w:lang/>
              </w:rPr>
              <w:t>3分</w:t>
            </w:r>
          </w:p>
        </w:tc>
      </w:tr>
      <w:tr w:rsidR="00416647" w:rsidRPr="00730061" w:rsidTr="00416647">
        <w:trPr>
          <w:trHeight w:val="643"/>
        </w:trPr>
        <w:tc>
          <w:tcPr>
            <w:tcW w:w="1083" w:type="dxa"/>
            <w:vMerge/>
            <w:tcBorders>
              <w:top w:val="nil"/>
              <w:left w:val="single" w:sz="4" w:space="0" w:color="auto"/>
              <w:bottom w:val="single" w:sz="4" w:space="0" w:color="auto"/>
              <w:right w:val="single" w:sz="4" w:space="0" w:color="auto"/>
            </w:tcBorders>
            <w:noWrap/>
            <w:vAlign w:val="center"/>
          </w:tcPr>
          <w:p w:rsidR="00416647" w:rsidRPr="00730061" w:rsidRDefault="00416647" w:rsidP="00267CF3">
            <w:pPr>
              <w:rPr>
                <w:rFonts w:ascii="Times New Roman" w:hAnsi="Times New Roman"/>
                <w:sz w:val="20"/>
                <w:szCs w:val="20"/>
              </w:rPr>
            </w:pPr>
          </w:p>
        </w:tc>
        <w:tc>
          <w:tcPr>
            <w:tcW w:w="108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273" w:lineRule="auto"/>
              <w:jc w:val="center"/>
              <w:rPr>
                <w:rFonts w:ascii="宋体" w:hAnsi="宋体" w:hint="eastAsia"/>
                <w:color w:val="000000"/>
                <w:szCs w:val="21"/>
              </w:rPr>
            </w:pPr>
            <w:r w:rsidRPr="00730061">
              <w:rPr>
                <w:rFonts w:ascii="宋体" w:hAnsi="宋体" w:hint="eastAsia"/>
                <w:color w:val="000000"/>
                <w:kern w:val="0"/>
                <w:szCs w:val="21"/>
                <w:lang/>
              </w:rPr>
              <w:t>保密及廉洁自律</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根据提出的确保造价咨询保密措施承诺及廉洁自律措施承诺在 0-3 分进行综合评分</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Cs w:val="21"/>
              </w:rPr>
            </w:pPr>
            <w:r w:rsidRPr="00730061">
              <w:rPr>
                <w:rFonts w:ascii="宋体" w:hAnsi="宋体" w:hint="eastAsia"/>
                <w:color w:val="000000"/>
                <w:kern w:val="0"/>
                <w:szCs w:val="21"/>
                <w:lang/>
              </w:rPr>
              <w:t>3分</w:t>
            </w:r>
          </w:p>
        </w:tc>
      </w:tr>
      <w:tr w:rsidR="00416647" w:rsidRPr="00730061" w:rsidTr="00416647">
        <w:trPr>
          <w:trHeight w:val="923"/>
        </w:trPr>
        <w:tc>
          <w:tcPr>
            <w:tcW w:w="2171" w:type="dxa"/>
            <w:gridSpan w:val="2"/>
            <w:tcBorders>
              <w:top w:val="single" w:sz="4" w:space="0" w:color="auto"/>
              <w:left w:val="single" w:sz="4" w:space="0" w:color="auto"/>
              <w:bottom w:val="single" w:sz="4" w:space="0" w:color="auto"/>
              <w:right w:val="single" w:sz="4" w:space="0" w:color="auto"/>
            </w:tcBorders>
            <w:noWrap/>
            <w:vAlign w:val="center"/>
          </w:tcPr>
          <w:p w:rsidR="00416647" w:rsidRPr="00730061" w:rsidRDefault="00416647" w:rsidP="00267CF3">
            <w:pPr>
              <w:widowControl/>
              <w:spacing w:line="273" w:lineRule="auto"/>
              <w:jc w:val="center"/>
              <w:rPr>
                <w:rFonts w:ascii="宋体" w:hAnsi="宋体" w:hint="eastAsia"/>
                <w:color w:val="000000"/>
                <w:szCs w:val="21"/>
              </w:rPr>
            </w:pPr>
            <w:r w:rsidRPr="00730061">
              <w:rPr>
                <w:rFonts w:ascii="宋体" w:hAnsi="宋体" w:hint="eastAsia"/>
                <w:color w:val="000000"/>
                <w:kern w:val="0"/>
                <w:szCs w:val="21"/>
                <w:lang/>
              </w:rPr>
              <w:t>总体评价</w:t>
            </w:r>
          </w:p>
          <w:p w:rsidR="00416647" w:rsidRPr="00730061" w:rsidRDefault="00416647" w:rsidP="00267CF3">
            <w:pPr>
              <w:widowControl/>
              <w:spacing w:line="273" w:lineRule="auto"/>
              <w:jc w:val="center"/>
              <w:rPr>
                <w:rFonts w:ascii="宋体" w:hAnsi="宋体" w:hint="eastAsia"/>
                <w:color w:val="000000"/>
                <w:szCs w:val="21"/>
              </w:rPr>
            </w:pPr>
            <w:r w:rsidRPr="00730061">
              <w:rPr>
                <w:rFonts w:ascii="宋体" w:hAnsi="宋体" w:hint="eastAsia"/>
                <w:color w:val="000000"/>
                <w:kern w:val="0"/>
                <w:szCs w:val="21"/>
                <w:lang/>
              </w:rPr>
              <w:t>（3分）</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rPr>
                <w:rFonts w:ascii="宋体" w:hAnsi="宋体" w:hint="eastAsia"/>
                <w:color w:val="000000"/>
                <w:szCs w:val="21"/>
              </w:rPr>
            </w:pPr>
            <w:r w:rsidRPr="00730061">
              <w:rPr>
                <w:rFonts w:ascii="宋体" w:hAnsi="宋体" w:hint="eastAsia"/>
                <w:color w:val="000000"/>
                <w:kern w:val="0"/>
                <w:szCs w:val="21"/>
                <w:lang/>
              </w:rPr>
              <w:t>根据申请人整体实力、投入本项目力量、方案的制定、标书编制水平及规范性等几个方面在 0-3分进行综合评分</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Cs w:val="21"/>
              </w:rPr>
            </w:pPr>
            <w:r w:rsidRPr="00730061">
              <w:rPr>
                <w:rFonts w:ascii="宋体" w:hAnsi="宋体" w:hint="eastAsia"/>
                <w:color w:val="000000"/>
                <w:kern w:val="0"/>
                <w:szCs w:val="21"/>
                <w:lang/>
              </w:rPr>
              <w:t>3 分</w:t>
            </w:r>
          </w:p>
        </w:tc>
      </w:tr>
      <w:tr w:rsidR="00416647" w:rsidRPr="00730061" w:rsidTr="00416647">
        <w:trPr>
          <w:trHeight w:val="549"/>
        </w:trPr>
        <w:tc>
          <w:tcPr>
            <w:tcW w:w="2171" w:type="dxa"/>
            <w:gridSpan w:val="2"/>
            <w:tcBorders>
              <w:top w:val="single" w:sz="4" w:space="0" w:color="auto"/>
              <w:left w:val="single" w:sz="4" w:space="0" w:color="auto"/>
              <w:bottom w:val="single" w:sz="4" w:space="0" w:color="auto"/>
              <w:right w:val="single" w:sz="4" w:space="0" w:color="auto"/>
            </w:tcBorders>
            <w:noWrap/>
          </w:tcPr>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宋体" w:hAnsi="宋体" w:hint="eastAsia"/>
                <w:color w:val="000000"/>
                <w:kern w:val="0"/>
                <w:szCs w:val="21"/>
                <w:lang/>
              </w:rPr>
              <w:t>合计</w:t>
            </w:r>
          </w:p>
        </w:tc>
        <w:tc>
          <w:tcPr>
            <w:tcW w:w="6868"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jc w:val="center"/>
              <w:rPr>
                <w:rFonts w:ascii="宋体" w:hAnsi="宋体" w:hint="eastAsia"/>
                <w:color w:val="000000"/>
                <w:szCs w:val="21"/>
              </w:rPr>
            </w:pPr>
            <w:r w:rsidRPr="00730061">
              <w:rPr>
                <w:rFonts w:ascii="宋体" w:hAnsi="宋体" w:hint="eastAsia"/>
                <w:color w:val="000000"/>
                <w:kern w:val="0"/>
                <w:szCs w:val="21"/>
                <w:lang/>
              </w:rPr>
              <w:t>（得分按四舍五入法保留到小数点后两位）</w:t>
            </w:r>
          </w:p>
        </w:tc>
        <w:tc>
          <w:tcPr>
            <w:tcW w:w="992" w:type="dxa"/>
            <w:tcBorders>
              <w:top w:val="single" w:sz="4" w:space="0" w:color="auto"/>
              <w:left w:val="nil"/>
              <w:bottom w:val="single" w:sz="4" w:space="0" w:color="auto"/>
              <w:right w:val="single" w:sz="4" w:space="0" w:color="auto"/>
            </w:tcBorders>
            <w:noWrap/>
            <w:vAlign w:val="center"/>
          </w:tcPr>
          <w:p w:rsidR="00416647" w:rsidRPr="00730061" w:rsidRDefault="00416647" w:rsidP="00267CF3">
            <w:pPr>
              <w:widowControl/>
              <w:spacing w:line="380" w:lineRule="exact"/>
              <w:jc w:val="center"/>
              <w:rPr>
                <w:rFonts w:ascii="宋体" w:hAnsi="宋体" w:hint="eastAsia"/>
                <w:color w:val="000000"/>
                <w:sz w:val="30"/>
                <w:szCs w:val="30"/>
              </w:rPr>
            </w:pPr>
            <w:r w:rsidRPr="00730061">
              <w:rPr>
                <w:rFonts w:ascii="ËÎÌå" w:eastAsia="ËÎÌå" w:hAnsi="ËÎÌå"/>
                <w:color w:val="000000"/>
                <w:kern w:val="0"/>
                <w:szCs w:val="21"/>
                <w:lang/>
              </w:rPr>
              <w:t>100</w:t>
            </w:r>
            <w:r w:rsidRPr="00730061">
              <w:rPr>
                <w:rFonts w:ascii="宋体" w:hAnsi="宋体" w:hint="eastAsia"/>
                <w:color w:val="000000"/>
                <w:kern w:val="0"/>
                <w:szCs w:val="21"/>
                <w:lang/>
              </w:rPr>
              <w:t>分</w:t>
            </w:r>
          </w:p>
        </w:tc>
      </w:tr>
    </w:tbl>
    <w:p w:rsidR="00416647" w:rsidRDefault="00416647" w:rsidP="00416647">
      <w:pPr>
        <w:jc w:val="left"/>
      </w:pPr>
    </w:p>
    <w:p w:rsidR="00EA5FF0" w:rsidRDefault="00EA5FF0"/>
    <w:sectPr w:rsidR="00EA5FF0" w:rsidSect="00EA5F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ËÎÌå">
    <w:altName w:val="Times New Roman"/>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6647"/>
    <w:rsid w:val="00416647"/>
    <w:rsid w:val="004638C6"/>
    <w:rsid w:val="00EA5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16647"/>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qFormat/>
    <w:rsid w:val="00416647"/>
    <w:pPr>
      <w:spacing w:before="100" w:beforeAutospacing="1" w:after="100" w:afterAutospacing="1"/>
      <w:jc w:val="left"/>
    </w:pPr>
    <w:rPr>
      <w:rFonts w:ascii="宋体" w:hAnsi="宋体"/>
      <w:kern w:val="0"/>
      <w:sz w:val="24"/>
    </w:rPr>
  </w:style>
  <w:style w:type="paragraph" w:styleId="a0">
    <w:name w:val="table of authorities"/>
    <w:basedOn w:val="a"/>
    <w:next w:val="a"/>
    <w:uiPriority w:val="99"/>
    <w:semiHidden/>
    <w:unhideWhenUsed/>
    <w:rsid w:val="00416647"/>
    <w:pPr>
      <w:ind w:leftChars="200"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2020-05-22T07:54:00Z</dcterms:created>
  <dcterms:modified xsi:type="dcterms:W3CDTF">2020-05-22T07:55:00Z</dcterms:modified>
</cp:coreProperties>
</file>