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Y="452"/>
        <w:tblW w:w="7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510"/>
        <w:gridCol w:w="2130"/>
        <w:gridCol w:w="510"/>
        <w:gridCol w:w="34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5"/>
                <w:rFonts w:hint="default"/>
                <w:lang w:bidi="ar"/>
              </w:rPr>
              <w:t>老市委党校固定资产-电器类资产清查明细表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电器类资产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电脑主机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显示器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空调（柜机）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弱电配电箱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路由器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机顶盒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CDF串联电源防雷器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稳压器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打印机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白炽灯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手提式CO2灭火器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手提式干粉灭火器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吊扇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格栅灯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中央空调室内机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射灯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摇头扇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防盗门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筒灯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电热水器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空调挂机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窗机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330D"/>
    <w:rsid w:val="120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52"/>
      <w:szCs w:val="5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2019-08-07T07:29:00Z</dcterms:created>
  <dc:creator>夜灯下的笔</dc:creator>
  <cp:lastModifiedBy>夜灯下的笔</cp:lastModifiedBy>
  <dcterms:modified xsi:type="dcterms:W3CDTF">2019-08-07T07:30:29Z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